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E164" w14:textId="77777777" w:rsidR="00586F37" w:rsidRDefault="00D51679" w:rsidP="00D51679">
      <w:pPr>
        <w:ind w:left="-90" w:right="-90"/>
        <w:jc w:val="center"/>
      </w:pPr>
      <w:r>
        <w:rPr>
          <w:rFonts w:ascii="Times New Roman" w:hAnsi="Times New Roman"/>
          <w:b/>
          <w:noProof/>
          <w:color w:val="000000" w:themeColor="text1"/>
          <w:sz w:val="24"/>
          <w:szCs w:val="36"/>
        </w:rPr>
        <w:drawing>
          <wp:anchor distT="0" distB="0" distL="114300" distR="114300" simplePos="0" relativeHeight="251658240" behindDoc="1" locked="0" layoutInCell="1" allowOverlap="1" wp14:anchorId="21FD18C4" wp14:editId="05ABD40D">
            <wp:simplePos x="0" y="0"/>
            <wp:positionH relativeFrom="column">
              <wp:posOffset>3810</wp:posOffset>
            </wp:positionH>
            <wp:positionV relativeFrom="paragraph">
              <wp:posOffset>0</wp:posOffset>
            </wp:positionV>
            <wp:extent cx="6859270" cy="1381125"/>
            <wp:effectExtent l="0" t="0" r="0" b="9525"/>
            <wp:wrapTight wrapText="bothSides">
              <wp:wrapPolygon edited="0">
                <wp:start x="0" y="0"/>
                <wp:lineTo x="0" y="21451"/>
                <wp:lineTo x="21536" y="21451"/>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a Branson\AppData\Local\Microsoft\Windows\INetCache\Content.Word\SGCC_WbBnr720x145_3-01.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59270" cy="1381125"/>
                    </a:xfrm>
                    <a:prstGeom prst="rect">
                      <a:avLst/>
                    </a:prstGeom>
                    <a:noFill/>
                    <a:ln>
                      <a:noFill/>
                    </a:ln>
                  </pic:spPr>
                </pic:pic>
              </a:graphicData>
            </a:graphic>
            <wp14:sizeRelH relativeFrom="margin">
              <wp14:pctWidth>0</wp14:pctWidth>
            </wp14:sizeRelH>
          </wp:anchor>
        </w:drawing>
      </w:r>
    </w:p>
    <w:tbl>
      <w:tblPr>
        <w:tblStyle w:val="TableGrid"/>
        <w:tblW w:w="5000" w:type="pct"/>
        <w:tblLook w:val="04A0" w:firstRow="1" w:lastRow="0" w:firstColumn="1" w:lastColumn="0" w:noHBand="0" w:noVBand="1"/>
      </w:tblPr>
      <w:tblGrid>
        <w:gridCol w:w="4698"/>
        <w:gridCol w:w="6092"/>
      </w:tblGrid>
      <w:tr w:rsidR="00586F37" w:rsidRPr="00586F37" w14:paraId="1E963B5E" w14:textId="77777777" w:rsidTr="00D51679">
        <w:tc>
          <w:tcPr>
            <w:tcW w:w="5000" w:type="pct"/>
            <w:gridSpan w:val="2"/>
            <w:shd w:val="clear" w:color="auto" w:fill="auto"/>
          </w:tcPr>
          <w:p w14:paraId="6D638946" w14:textId="77777777" w:rsidR="0031714D" w:rsidRPr="00586F37" w:rsidRDefault="00737E79" w:rsidP="0031714D">
            <w:pPr>
              <w:jc w:val="center"/>
              <w:outlineLvl w:val="0"/>
              <w:rPr>
                <w:rFonts w:ascii="BalloonEFExtraBold" w:hAnsi="BalloonEFExtraBold"/>
                <w:b/>
                <w:sz w:val="28"/>
                <w:szCs w:val="36"/>
              </w:rPr>
            </w:pPr>
            <w:r w:rsidRPr="00586F37">
              <w:rPr>
                <w:rFonts w:ascii="Times New Roman" w:hAnsi="Times New Roman"/>
                <w:b/>
                <w:sz w:val="36"/>
                <w:szCs w:val="36"/>
              </w:rPr>
              <w:t>Recorder For</w:t>
            </w:r>
            <w:r w:rsidR="0031714D" w:rsidRPr="00586F37">
              <w:rPr>
                <w:rFonts w:ascii="Times New Roman" w:hAnsi="Times New Roman"/>
                <w:b/>
                <w:sz w:val="36"/>
                <w:szCs w:val="36"/>
              </w:rPr>
              <w:t>m</w:t>
            </w:r>
          </w:p>
        </w:tc>
      </w:tr>
      <w:tr w:rsidR="0031714D" w14:paraId="6136186A" w14:textId="77777777" w:rsidTr="00D51679">
        <w:tc>
          <w:tcPr>
            <w:tcW w:w="5000" w:type="pct"/>
            <w:gridSpan w:val="2"/>
            <w:shd w:val="clear" w:color="auto" w:fill="auto"/>
          </w:tcPr>
          <w:p w14:paraId="04703F39" w14:textId="529F056B" w:rsidR="0031714D" w:rsidRPr="00C32117" w:rsidRDefault="00FC721A" w:rsidP="008D3641">
            <w:pPr>
              <w:jc w:val="center"/>
              <w:outlineLvl w:val="0"/>
              <w:rPr>
                <w:rFonts w:ascii="Times New Roman" w:hAnsi="Times New Roman"/>
                <w:b/>
                <w:color w:val="000000" w:themeColor="text1"/>
                <w:sz w:val="24"/>
                <w:szCs w:val="36"/>
              </w:rPr>
            </w:pPr>
            <w:r>
              <w:rPr>
                <w:rFonts w:ascii="Times New Roman" w:hAnsi="Times New Roman"/>
                <w:b/>
                <w:color w:val="000000" w:themeColor="text1"/>
                <w:sz w:val="24"/>
                <w:szCs w:val="36"/>
              </w:rPr>
              <w:t xml:space="preserve">Onsite Contact </w:t>
            </w:r>
            <w:r w:rsidR="00493E00">
              <w:rPr>
                <w:rFonts w:ascii="Times New Roman" w:hAnsi="Times New Roman"/>
                <w:b/>
                <w:color w:val="000000" w:themeColor="text1"/>
                <w:sz w:val="24"/>
                <w:szCs w:val="36"/>
              </w:rPr>
              <w:t>Tami Snow 918.388.7428</w:t>
            </w:r>
          </w:p>
        </w:tc>
      </w:tr>
      <w:tr w:rsidR="00737E79" w14:paraId="1204F1CC" w14:textId="77777777" w:rsidTr="00D51679">
        <w:tc>
          <w:tcPr>
            <w:tcW w:w="2177" w:type="pct"/>
          </w:tcPr>
          <w:p w14:paraId="735388E0" w14:textId="1515AAC2" w:rsidR="00737E79" w:rsidRDefault="00737E79" w:rsidP="0072275A">
            <w:pPr>
              <w:spacing w:before="120" w:after="120"/>
            </w:pPr>
            <w:r>
              <w:t>Recorder:</w:t>
            </w:r>
            <w:r w:rsidR="000F17E1">
              <w:t xml:space="preserve"> </w:t>
            </w:r>
            <w:r w:rsidR="003C4C14">
              <w:t>Linda Austin</w:t>
            </w:r>
          </w:p>
        </w:tc>
        <w:tc>
          <w:tcPr>
            <w:tcW w:w="2823" w:type="pct"/>
          </w:tcPr>
          <w:p w14:paraId="66B6E891" w14:textId="79E4448F" w:rsidR="00737E79" w:rsidRDefault="00D51679" w:rsidP="000F17E1">
            <w:pPr>
              <w:spacing w:before="120" w:after="120"/>
            </w:pPr>
            <w:r>
              <w:t>Date:</w:t>
            </w:r>
            <w:r w:rsidR="003C4C14">
              <w:t xml:space="preserve"> 04/24/18</w:t>
            </w:r>
          </w:p>
        </w:tc>
      </w:tr>
      <w:tr w:rsidR="00737E79" w14:paraId="030C9D78" w14:textId="77777777" w:rsidTr="00D51679">
        <w:tc>
          <w:tcPr>
            <w:tcW w:w="5000" w:type="pct"/>
            <w:gridSpan w:val="2"/>
          </w:tcPr>
          <w:p w14:paraId="62BCE0E5" w14:textId="5BF1298F" w:rsidR="00737E79" w:rsidRDefault="00737E79" w:rsidP="0072275A">
            <w:pPr>
              <w:spacing w:before="120" w:after="120"/>
            </w:pPr>
            <w:r>
              <w:t>Session Title:</w:t>
            </w:r>
            <w:r w:rsidR="000F17E1">
              <w:t xml:space="preserve"> </w:t>
            </w:r>
            <w:r w:rsidR="003C4C14">
              <w:t>Contract Support Costs Update and Overview</w:t>
            </w:r>
          </w:p>
        </w:tc>
      </w:tr>
      <w:tr w:rsidR="00737E79" w14:paraId="7E9FF045" w14:textId="77777777" w:rsidTr="00D51679">
        <w:tc>
          <w:tcPr>
            <w:tcW w:w="5000" w:type="pct"/>
            <w:gridSpan w:val="2"/>
          </w:tcPr>
          <w:p w14:paraId="3083754D" w14:textId="2B9DE807" w:rsidR="0072275A" w:rsidRDefault="00737E79" w:rsidP="0072275A">
            <w:pPr>
              <w:spacing w:before="120" w:after="120"/>
            </w:pPr>
            <w:r>
              <w:t>Panelists:</w:t>
            </w:r>
            <w:r w:rsidR="000F17E1">
              <w:t xml:space="preserve"> </w:t>
            </w:r>
            <w:r w:rsidR="003C4C14">
              <w:t xml:space="preserve">Rebecca Patterson, Sonosky, Chambers, Sachse, Miller and </w:t>
            </w:r>
            <w:proofErr w:type="spellStart"/>
            <w:r w:rsidR="003C4C14">
              <w:t>Monkman</w:t>
            </w:r>
            <w:proofErr w:type="spellEnd"/>
            <w:r w:rsidR="003C4C14">
              <w:t>; Steve Osborne, Hobbs, Straus, Dean and Walker, LLP; Roselyn Tso Director, Office of Direct Service Tribes, IHS</w:t>
            </w:r>
          </w:p>
          <w:p w14:paraId="3E37D2D4" w14:textId="77777777" w:rsidR="0072275A" w:rsidRDefault="0072275A" w:rsidP="0072275A">
            <w:pPr>
              <w:spacing w:before="120" w:after="120"/>
            </w:pPr>
          </w:p>
        </w:tc>
      </w:tr>
      <w:tr w:rsidR="00737E79" w14:paraId="2681FF12" w14:textId="77777777" w:rsidTr="00D51679">
        <w:tc>
          <w:tcPr>
            <w:tcW w:w="5000" w:type="pct"/>
            <w:gridSpan w:val="2"/>
          </w:tcPr>
          <w:p w14:paraId="58D17E6D" w14:textId="5FC85167" w:rsidR="00691A8A" w:rsidRDefault="0031714D" w:rsidP="0072275A">
            <w:r>
              <w:t>Summary of Issue</w:t>
            </w:r>
            <w:r w:rsidR="0072275A">
              <w:t>s and Items Discussed</w:t>
            </w:r>
            <w:r>
              <w:t xml:space="preserve">: </w:t>
            </w:r>
          </w:p>
          <w:p w14:paraId="22E7BDC0" w14:textId="23E2A1D8" w:rsidR="00056408" w:rsidRDefault="00056408" w:rsidP="0072275A">
            <w:r>
              <w:t>Roselyn Tso IHS-CSC Update Self Governance Meeting</w:t>
            </w:r>
          </w:p>
          <w:p w14:paraId="4867B109" w14:textId="1CC66346" w:rsidR="00056408" w:rsidRDefault="00056408" w:rsidP="0072275A">
            <w:r>
              <w:t>Presentation Covered Following Topics</w:t>
            </w:r>
          </w:p>
          <w:p w14:paraId="2862E006" w14:textId="195D4462" w:rsidR="00056408" w:rsidRPr="00056408" w:rsidRDefault="00056408" w:rsidP="00056408">
            <w:pPr>
              <w:pStyle w:val="ListParagraph"/>
              <w:numPr>
                <w:ilvl w:val="0"/>
                <w:numId w:val="1"/>
              </w:numPr>
            </w:pPr>
            <w:r w:rsidRPr="00056408">
              <w:t>CSC Fund Status</w:t>
            </w:r>
            <w:r>
              <w:t xml:space="preserve"> </w:t>
            </w:r>
            <w:r>
              <w:t>Table depicts funds yet to be distributed or allocated among all areas--CSC Fund Needs Table from FY ’14 thru ‘18</w:t>
            </w:r>
          </w:p>
          <w:p w14:paraId="74391EF8" w14:textId="71E4D291" w:rsidR="00056408" w:rsidRDefault="00056408" w:rsidP="00056408">
            <w:pPr>
              <w:pStyle w:val="ListParagraph"/>
              <w:numPr>
                <w:ilvl w:val="0"/>
                <w:numId w:val="1"/>
              </w:numPr>
            </w:pPr>
            <w:r w:rsidRPr="00056408">
              <w:t>CSC Need Methodology</w:t>
            </w:r>
            <w:r>
              <w:t>—Accurate and Current data extremely important to calculating CSC</w:t>
            </w:r>
          </w:p>
          <w:p w14:paraId="05BE9078" w14:textId="694079DF" w:rsidR="00056408" w:rsidRDefault="00056408" w:rsidP="00056408">
            <w:pPr>
              <w:pStyle w:val="ListParagraph"/>
              <w:numPr>
                <w:ilvl w:val="1"/>
                <w:numId w:val="1"/>
              </w:numPr>
            </w:pPr>
            <w:r>
              <w:t>Overview of Base Funding</w:t>
            </w:r>
          </w:p>
          <w:p w14:paraId="699049BC" w14:textId="2FEC46B5" w:rsidR="00056408" w:rsidRDefault="00056408" w:rsidP="00056408">
            <w:pPr>
              <w:pStyle w:val="ListParagraph"/>
              <w:numPr>
                <w:ilvl w:val="1"/>
                <w:numId w:val="1"/>
              </w:numPr>
            </w:pPr>
            <w:r>
              <w:t>Additional CSC generated by funding increases</w:t>
            </w:r>
          </w:p>
          <w:p w14:paraId="16614CEC" w14:textId="4E7F19E2" w:rsidR="00056408" w:rsidRDefault="00056408" w:rsidP="00056408">
            <w:pPr>
              <w:pStyle w:val="ListParagraph"/>
              <w:numPr>
                <w:ilvl w:val="1"/>
                <w:numId w:val="1"/>
              </w:numPr>
            </w:pPr>
            <w:r>
              <w:t>Direct CSC Inflation (clarified that now a medical inflation rate is utilized)</w:t>
            </w:r>
          </w:p>
          <w:p w14:paraId="7D10D22F" w14:textId="62C930F4" w:rsidR="00056408" w:rsidRPr="00056408" w:rsidRDefault="00056408" w:rsidP="00056408">
            <w:pPr>
              <w:pStyle w:val="ListParagraph"/>
              <w:numPr>
                <w:ilvl w:val="1"/>
                <w:numId w:val="1"/>
              </w:numPr>
            </w:pPr>
            <w:r>
              <w:t xml:space="preserve">New and Expanded PSFAs and </w:t>
            </w:r>
            <w:r w:rsidR="0047175E">
              <w:t>Renegotiation</w:t>
            </w:r>
            <w:r>
              <w:t xml:space="preserve"> Amounts</w:t>
            </w:r>
          </w:p>
          <w:p w14:paraId="4E65F34C" w14:textId="726F0866" w:rsidR="00056408" w:rsidRDefault="00056408" w:rsidP="00056408">
            <w:pPr>
              <w:pStyle w:val="ListParagraph"/>
              <w:numPr>
                <w:ilvl w:val="0"/>
                <w:numId w:val="1"/>
              </w:numPr>
            </w:pPr>
            <w:r w:rsidRPr="00056408">
              <w:t>IHS CSC Policy Updates</w:t>
            </w:r>
          </w:p>
          <w:p w14:paraId="28A2177C" w14:textId="68EEB829" w:rsidR="00056408" w:rsidRDefault="00056408" w:rsidP="00056408">
            <w:pPr>
              <w:pStyle w:val="ListParagraph"/>
              <w:numPr>
                <w:ilvl w:val="1"/>
                <w:numId w:val="1"/>
              </w:numPr>
            </w:pPr>
            <w:r>
              <w:t xml:space="preserve">Startup and </w:t>
            </w:r>
            <w:proofErr w:type="gramStart"/>
            <w:r>
              <w:t>Pre Award</w:t>
            </w:r>
            <w:proofErr w:type="gramEnd"/>
            <w:r>
              <w:t xml:space="preserve"> payments on a one-time basis</w:t>
            </w:r>
            <w:r w:rsidR="0047175E">
              <w:t xml:space="preserve"> w/ a 12-month time frame to spend</w:t>
            </w:r>
          </w:p>
          <w:p w14:paraId="569562A7" w14:textId="3378F949" w:rsidR="0047175E" w:rsidRDefault="0047175E" w:rsidP="00056408">
            <w:pPr>
              <w:pStyle w:val="ListParagraph"/>
              <w:numPr>
                <w:ilvl w:val="1"/>
                <w:numId w:val="1"/>
              </w:numPr>
            </w:pPr>
            <w:r>
              <w:t>Medical Inflation Rate used for DCSC calculation (higher than the non-medical rate of past)</w:t>
            </w:r>
          </w:p>
          <w:p w14:paraId="430029DB" w14:textId="27062212" w:rsidR="0047175E" w:rsidRDefault="0047175E" w:rsidP="00056408">
            <w:pPr>
              <w:pStyle w:val="ListParagraph"/>
              <w:numPr>
                <w:ilvl w:val="1"/>
                <w:numId w:val="1"/>
              </w:numPr>
            </w:pPr>
            <w:r>
              <w:t>Indirect CSC-Review the tribe’s total health care costs in the prior year to determine accurate amount spent. This expedites reconciliation process</w:t>
            </w:r>
          </w:p>
          <w:p w14:paraId="407BF463" w14:textId="0E5EC75F" w:rsidR="0047175E" w:rsidRDefault="0047175E" w:rsidP="00056408">
            <w:pPr>
              <w:pStyle w:val="ListParagraph"/>
              <w:numPr>
                <w:ilvl w:val="1"/>
                <w:numId w:val="1"/>
              </w:numPr>
            </w:pPr>
            <w:r>
              <w:t>Closeout of 90 days after contract term expires</w:t>
            </w:r>
          </w:p>
          <w:p w14:paraId="65133BF6" w14:textId="4057486A" w:rsidR="0047175E" w:rsidRPr="0047175E" w:rsidRDefault="0047175E" w:rsidP="00056408">
            <w:pPr>
              <w:pStyle w:val="ListParagraph"/>
              <w:numPr>
                <w:ilvl w:val="1"/>
                <w:numId w:val="1"/>
              </w:numPr>
            </w:pPr>
            <w:r>
              <w:t xml:space="preserve">Incorporates alternate methods of calculating IDC associated with recurring service unit shares. Options included to elect a simplified method (97/3 split, 3% of the service unit funding will be considered IDC) </w:t>
            </w:r>
            <w:r>
              <w:rPr>
                <w:i/>
              </w:rPr>
              <w:t>This option is currently under tribal consultation as IHS has suspended this option from the current policy</w:t>
            </w:r>
          </w:p>
          <w:p w14:paraId="6F81EDEF" w14:textId="762D6BAF" w:rsidR="0047175E" w:rsidRPr="00056408" w:rsidRDefault="0047175E" w:rsidP="00056408">
            <w:pPr>
              <w:pStyle w:val="ListParagraph"/>
              <w:numPr>
                <w:ilvl w:val="1"/>
                <w:numId w:val="1"/>
              </w:numPr>
            </w:pPr>
            <w:r>
              <w:t>Outlines closeout procedures for 2016 forward</w:t>
            </w:r>
          </w:p>
          <w:p w14:paraId="38339755" w14:textId="4788FDA7" w:rsidR="00056408" w:rsidRDefault="00056408" w:rsidP="00056408">
            <w:pPr>
              <w:pStyle w:val="ListParagraph"/>
              <w:numPr>
                <w:ilvl w:val="0"/>
                <w:numId w:val="1"/>
              </w:numPr>
            </w:pPr>
            <w:r w:rsidRPr="00056408">
              <w:t>Tribal Consultation</w:t>
            </w:r>
          </w:p>
          <w:p w14:paraId="6D77CADA" w14:textId="13BB4774" w:rsidR="0047175E" w:rsidRDefault="0047175E" w:rsidP="0047175E">
            <w:pPr>
              <w:pStyle w:val="ListParagraph"/>
              <w:numPr>
                <w:ilvl w:val="1"/>
                <w:numId w:val="1"/>
              </w:numPr>
            </w:pPr>
            <w:r>
              <w:t>Alternate methods for calculating IDC associated with recurring service unit shares-simplified method and use 97/3, 3% of the service unit funding will be considered IDC.</w:t>
            </w:r>
          </w:p>
          <w:p w14:paraId="12B0DB60" w14:textId="022A4335" w:rsidR="0047175E" w:rsidRDefault="0047175E" w:rsidP="0047175E">
            <w:pPr>
              <w:pStyle w:val="ListParagraph"/>
              <w:numPr>
                <w:ilvl w:val="1"/>
                <w:numId w:val="1"/>
              </w:numPr>
            </w:pPr>
            <w:r>
              <w:t>On 12/21/17: IHS notified tribes that it was necessary to suspend this option. IHS determined that this option may not conform in all cases with the ISDEAA</w:t>
            </w:r>
          </w:p>
          <w:p w14:paraId="2A60EF25" w14:textId="417DD014" w:rsidR="0047175E" w:rsidRDefault="0047175E" w:rsidP="0047175E">
            <w:pPr>
              <w:pStyle w:val="ListParagraph"/>
              <w:numPr>
                <w:ilvl w:val="1"/>
                <w:numId w:val="1"/>
              </w:numPr>
            </w:pPr>
            <w:r>
              <w:t xml:space="preserve">IHS committed to seek input from the CSC Workgroup and </w:t>
            </w:r>
            <w:proofErr w:type="spellStart"/>
            <w:r>
              <w:t>intiitate</w:t>
            </w:r>
            <w:proofErr w:type="spellEnd"/>
            <w:r>
              <w:t xml:space="preserve"> Tribal Consultation </w:t>
            </w:r>
            <w:proofErr w:type="spellStart"/>
            <w:r>
              <w:t>prir</w:t>
            </w:r>
            <w:proofErr w:type="spellEnd"/>
            <w:r>
              <w:t xml:space="preserve"> to making final decision</w:t>
            </w:r>
          </w:p>
          <w:p w14:paraId="12A466B6" w14:textId="14871C0D" w:rsidR="0047175E" w:rsidRDefault="0047175E" w:rsidP="0047175E">
            <w:pPr>
              <w:pStyle w:val="ListParagraph"/>
              <w:numPr>
                <w:ilvl w:val="1"/>
                <w:numId w:val="1"/>
              </w:numPr>
            </w:pPr>
            <w:r>
              <w:t>March 7</w:t>
            </w:r>
            <w:r w:rsidRPr="0047175E">
              <w:rPr>
                <w:vertAlign w:val="superscript"/>
              </w:rPr>
              <w:t>th</w:t>
            </w:r>
            <w:r>
              <w:t xml:space="preserve"> CSC Workgroup made a recommendation to ISH Acting Director along with HIS additional options in a DTL letter dated April 13</w:t>
            </w:r>
            <w:r w:rsidRPr="0047175E">
              <w:rPr>
                <w:vertAlign w:val="superscript"/>
              </w:rPr>
              <w:t>th</w:t>
            </w:r>
            <w:r>
              <w:t xml:space="preserve"> for </w:t>
            </w:r>
            <w:proofErr w:type="gramStart"/>
            <w:r>
              <w:t>30 day</w:t>
            </w:r>
            <w:proofErr w:type="gramEnd"/>
            <w:r>
              <w:t xml:space="preserve"> consultation—May 18</w:t>
            </w:r>
            <w:r w:rsidRPr="0047175E">
              <w:rPr>
                <w:vertAlign w:val="superscript"/>
              </w:rPr>
              <w:t>th</w:t>
            </w:r>
          </w:p>
          <w:p w14:paraId="5ABAB06F" w14:textId="77777777" w:rsidR="0047175E" w:rsidRDefault="0047175E" w:rsidP="0047175E">
            <w:pPr>
              <w:pStyle w:val="ListParagraph"/>
              <w:numPr>
                <w:ilvl w:val="1"/>
                <w:numId w:val="1"/>
              </w:numPr>
            </w:pPr>
            <w:r>
              <w:t>IHS will review comments with the CSC Workgroup prior to issuing a final decision.</w:t>
            </w:r>
          </w:p>
          <w:p w14:paraId="37A0E2D1" w14:textId="488803B2" w:rsidR="0047175E" w:rsidRDefault="0047175E" w:rsidP="0047175E">
            <w:pPr>
              <w:pStyle w:val="ListParagraph"/>
              <w:numPr>
                <w:ilvl w:val="1"/>
                <w:numId w:val="1"/>
              </w:numPr>
            </w:pPr>
            <w:r>
              <w:t xml:space="preserve">IHS remains committed to our Tribal Consultation process and </w:t>
            </w:r>
            <w:r>
              <w:t xml:space="preserve">anticipates </w:t>
            </w:r>
            <w:r>
              <w:t xml:space="preserve">a workable solution. </w:t>
            </w:r>
          </w:p>
          <w:p w14:paraId="1E4BCA69" w14:textId="77777777" w:rsidR="0047175E" w:rsidRPr="00056408" w:rsidRDefault="0047175E" w:rsidP="0047175E">
            <w:pPr>
              <w:pStyle w:val="ListParagraph"/>
              <w:numPr>
                <w:ilvl w:val="1"/>
                <w:numId w:val="1"/>
              </w:numPr>
            </w:pPr>
          </w:p>
          <w:p w14:paraId="2E4160DC" w14:textId="58AF6A5A" w:rsidR="00056408" w:rsidRDefault="00056408" w:rsidP="00056408">
            <w:pPr>
              <w:pStyle w:val="ListParagraph"/>
              <w:numPr>
                <w:ilvl w:val="0"/>
                <w:numId w:val="1"/>
              </w:numPr>
            </w:pPr>
            <w:r w:rsidRPr="00056408">
              <w:t>IHS Improvements</w:t>
            </w:r>
          </w:p>
          <w:p w14:paraId="62096F7A" w14:textId="674D0F4B" w:rsidR="0047175E" w:rsidRDefault="0047175E" w:rsidP="0047175E">
            <w:pPr>
              <w:pStyle w:val="ListParagraph"/>
              <w:numPr>
                <w:ilvl w:val="1"/>
                <w:numId w:val="1"/>
              </w:numPr>
            </w:pPr>
            <w:r>
              <w:t>Committed to a simplified and streamlined business process</w:t>
            </w:r>
          </w:p>
          <w:p w14:paraId="5AAEBF2E" w14:textId="5C642D64" w:rsidR="0047175E" w:rsidRDefault="0047175E" w:rsidP="0047175E">
            <w:pPr>
              <w:pStyle w:val="ListParagraph"/>
              <w:numPr>
                <w:ilvl w:val="1"/>
                <w:numId w:val="1"/>
              </w:numPr>
            </w:pPr>
            <w:r>
              <w:t>Refer to the “Guiding Principles” established in the IHS CSC Policy</w:t>
            </w:r>
          </w:p>
          <w:p w14:paraId="179925CF" w14:textId="65AAF970" w:rsidR="0047175E" w:rsidRDefault="0047175E" w:rsidP="0047175E">
            <w:pPr>
              <w:pStyle w:val="ListParagraph"/>
              <w:numPr>
                <w:ilvl w:val="1"/>
                <w:numId w:val="1"/>
              </w:numPr>
            </w:pPr>
            <w:r>
              <w:t>Strive for consistency in ISDEAA negotiations</w:t>
            </w:r>
          </w:p>
          <w:p w14:paraId="2D687B2C" w14:textId="37D836F5" w:rsidR="0047175E" w:rsidRDefault="0047175E" w:rsidP="0047175E">
            <w:pPr>
              <w:pStyle w:val="ListParagraph"/>
              <w:numPr>
                <w:ilvl w:val="1"/>
                <w:numId w:val="1"/>
              </w:numPr>
            </w:pPr>
            <w:r>
              <w:lastRenderedPageBreak/>
              <w:t>Improve regular communication with internal communication to IHS negotiators</w:t>
            </w:r>
          </w:p>
          <w:p w14:paraId="5C8FD264" w14:textId="5E9803EB" w:rsidR="0047175E" w:rsidRPr="00056408" w:rsidRDefault="0047175E" w:rsidP="0047175E">
            <w:pPr>
              <w:pStyle w:val="ListParagraph"/>
              <w:numPr>
                <w:ilvl w:val="1"/>
                <w:numId w:val="1"/>
              </w:numPr>
            </w:pPr>
            <w:r>
              <w:t xml:space="preserve">Implement ISDEAA </w:t>
            </w:r>
            <w:r w:rsidR="007131BB">
              <w:t>team’s</w:t>
            </w:r>
            <w:r>
              <w:t xml:space="preserve"> improvements</w:t>
            </w:r>
          </w:p>
          <w:p w14:paraId="1D2DAE9E" w14:textId="12508D63" w:rsidR="00056408" w:rsidRDefault="00056408" w:rsidP="00056408">
            <w:pPr>
              <w:pStyle w:val="ListParagraph"/>
              <w:numPr>
                <w:ilvl w:val="0"/>
                <w:numId w:val="1"/>
              </w:numPr>
            </w:pPr>
            <w:r w:rsidRPr="00056408">
              <w:t>Training</w:t>
            </w:r>
          </w:p>
          <w:p w14:paraId="374CD0FA" w14:textId="772AD7E1" w:rsidR="0047175E" w:rsidRDefault="0047175E" w:rsidP="0047175E">
            <w:pPr>
              <w:pStyle w:val="ListParagraph"/>
              <w:numPr>
                <w:ilvl w:val="1"/>
                <w:numId w:val="1"/>
              </w:numPr>
            </w:pPr>
            <w:r>
              <w:t xml:space="preserve">Website videos </w:t>
            </w:r>
            <w:r w:rsidR="008A58F9">
              <w:t>available</w:t>
            </w:r>
            <w:r>
              <w:t xml:space="preserve"> on various CSC calculation process</w:t>
            </w:r>
          </w:p>
          <w:p w14:paraId="4CB1B43D" w14:textId="7E757658" w:rsidR="00056408" w:rsidRDefault="008A58F9" w:rsidP="00056408">
            <w:pPr>
              <w:pStyle w:val="ListParagraph"/>
              <w:numPr>
                <w:ilvl w:val="0"/>
                <w:numId w:val="1"/>
              </w:numPr>
            </w:pPr>
            <w:r>
              <w:t>Other</w:t>
            </w:r>
          </w:p>
          <w:p w14:paraId="7B4A0879" w14:textId="66DEB324" w:rsidR="008A58F9" w:rsidRDefault="008A58F9" w:rsidP="008A58F9">
            <w:pPr>
              <w:pStyle w:val="ListParagraph"/>
              <w:numPr>
                <w:ilvl w:val="1"/>
                <w:numId w:val="1"/>
              </w:numPr>
            </w:pPr>
            <w:r>
              <w:t>New policy online at ihs.gov</w:t>
            </w:r>
          </w:p>
          <w:p w14:paraId="088B49F8" w14:textId="6C681F32" w:rsidR="008A58F9" w:rsidRDefault="008A58F9" w:rsidP="008A58F9">
            <w:pPr>
              <w:pStyle w:val="ListParagraph"/>
              <w:numPr>
                <w:ilvl w:val="1"/>
                <w:numId w:val="1"/>
              </w:numPr>
            </w:pPr>
            <w:r>
              <w:t>New CSC calculation template</w:t>
            </w:r>
          </w:p>
          <w:p w14:paraId="7181B347" w14:textId="783B47A9" w:rsidR="008A58F9" w:rsidRDefault="008A58F9" w:rsidP="008A58F9"/>
          <w:p w14:paraId="153911A3" w14:textId="1CA34816" w:rsidR="008A58F9" w:rsidRDefault="008A58F9" w:rsidP="008A58F9">
            <w:r w:rsidRPr="008A58F9">
              <w:rPr>
                <w:b/>
              </w:rPr>
              <w:t>CSC Workgroup Updates</w:t>
            </w:r>
            <w:r>
              <w:t xml:space="preserve"> (Rebecca Patterson &amp; Steve Osborne)</w:t>
            </w:r>
          </w:p>
          <w:p w14:paraId="3F1133AE" w14:textId="43894548" w:rsidR="008A58F9" w:rsidRDefault="008A58F9" w:rsidP="008A58F9">
            <w:pPr>
              <w:pStyle w:val="ListParagraph"/>
              <w:numPr>
                <w:ilvl w:val="0"/>
                <w:numId w:val="2"/>
              </w:numPr>
            </w:pPr>
            <w:r>
              <w:t>Suspension of Policy Option regarding duplication (97/3 split) Dec. 2017</w:t>
            </w:r>
          </w:p>
          <w:p w14:paraId="0433BFDD" w14:textId="549DEB5B" w:rsidR="008A58F9" w:rsidRDefault="008A58F9" w:rsidP="008A58F9">
            <w:pPr>
              <w:pStyle w:val="ListParagraph"/>
              <w:numPr>
                <w:ilvl w:val="0"/>
                <w:numId w:val="2"/>
              </w:numPr>
            </w:pPr>
            <w:r>
              <w:t>March ’18 meeting focused on duplication</w:t>
            </w:r>
          </w:p>
          <w:p w14:paraId="495ADDB2" w14:textId="58E227E2" w:rsidR="008A58F9" w:rsidRDefault="008A58F9" w:rsidP="008A58F9">
            <w:pPr>
              <w:pStyle w:val="ListParagraph"/>
              <w:numPr>
                <w:ilvl w:val="0"/>
                <w:numId w:val="2"/>
              </w:numPr>
            </w:pPr>
            <w:r>
              <w:t>Consultation Period currently—April 13, DTLL; Comments due May 18</w:t>
            </w:r>
            <w:r w:rsidRPr="008A58F9">
              <w:rPr>
                <w:vertAlign w:val="superscript"/>
              </w:rPr>
              <w:t>th</w:t>
            </w:r>
            <w:r>
              <w:t>; Workgroup offered proposal language and 2 other IHS only options</w:t>
            </w:r>
          </w:p>
          <w:p w14:paraId="7720E1D0" w14:textId="480A670B" w:rsidR="008A58F9" w:rsidRDefault="008A58F9" w:rsidP="008A58F9">
            <w:pPr>
              <w:pStyle w:val="ListParagraph"/>
              <w:numPr>
                <w:ilvl w:val="1"/>
                <w:numId w:val="2"/>
              </w:numPr>
            </w:pPr>
            <w:r>
              <w:t>Technical workgroup to address IDC-type costs</w:t>
            </w:r>
          </w:p>
          <w:p w14:paraId="521FE584" w14:textId="7A5516D6" w:rsidR="008A58F9" w:rsidRDefault="008A58F9" w:rsidP="008A58F9">
            <w:pPr>
              <w:pStyle w:val="ListParagraph"/>
              <w:numPr>
                <w:ilvl w:val="0"/>
                <w:numId w:val="2"/>
              </w:numPr>
            </w:pPr>
            <w:r>
              <w:t>Appropriations Update 2018</w:t>
            </w:r>
          </w:p>
          <w:p w14:paraId="2D5A059B" w14:textId="4DA801A2" w:rsidR="008A58F9" w:rsidRDefault="008A58F9" w:rsidP="008A58F9">
            <w:pPr>
              <w:pStyle w:val="ListParagraph"/>
              <w:numPr>
                <w:ilvl w:val="1"/>
                <w:numId w:val="2"/>
              </w:numPr>
            </w:pPr>
            <w:r>
              <w:t>CSC Amounts to be available will be such amounts as may be necessary</w:t>
            </w:r>
          </w:p>
          <w:p w14:paraId="3A0A71EB" w14:textId="2735D0D0" w:rsidR="008A58F9" w:rsidRDefault="008A58F9" w:rsidP="008A58F9">
            <w:pPr>
              <w:pStyle w:val="ListParagraph"/>
              <w:numPr>
                <w:ilvl w:val="1"/>
                <w:numId w:val="2"/>
              </w:numPr>
            </w:pPr>
            <w:r>
              <w:t>Estimate is $717,970,000</w:t>
            </w:r>
          </w:p>
          <w:p w14:paraId="56987D0C" w14:textId="61D05A3B" w:rsidR="008A58F9" w:rsidRDefault="008A58F9" w:rsidP="008A58F9">
            <w:pPr>
              <w:pStyle w:val="ListParagraph"/>
              <w:numPr>
                <w:ilvl w:val="0"/>
                <w:numId w:val="2"/>
              </w:numPr>
            </w:pPr>
            <w:r>
              <w:t>Separate appropriation for CSC</w:t>
            </w:r>
          </w:p>
          <w:p w14:paraId="11227615" w14:textId="08DB2F68" w:rsidR="008A58F9" w:rsidRDefault="008A58F9" w:rsidP="008A58F9">
            <w:pPr>
              <w:pStyle w:val="ListParagraph"/>
              <w:numPr>
                <w:ilvl w:val="0"/>
                <w:numId w:val="2"/>
              </w:numPr>
            </w:pPr>
            <w:r>
              <w:t>Committee language on grants encourage IHS to transfer funds through ‘638 agreements rather than separate grants to ensure admin costs will be covered thru the CSC process. Ex. Substance Abuse and Suicide Prevention; Domestic Violence Prevention and Zero Suicide Initiative</w:t>
            </w:r>
          </w:p>
          <w:p w14:paraId="5BB664DF" w14:textId="3004105D" w:rsidR="007131BB" w:rsidRDefault="007131BB" w:rsidP="008A58F9">
            <w:pPr>
              <w:pStyle w:val="ListParagraph"/>
              <w:numPr>
                <w:ilvl w:val="0"/>
                <w:numId w:val="2"/>
              </w:numPr>
            </w:pPr>
            <w:r>
              <w:t>2019 CSC Appropriations</w:t>
            </w:r>
          </w:p>
          <w:p w14:paraId="70C02344" w14:textId="46910087" w:rsidR="007131BB" w:rsidRDefault="007131BB" w:rsidP="007131BB">
            <w:pPr>
              <w:pStyle w:val="ListParagraph"/>
              <w:numPr>
                <w:ilvl w:val="1"/>
                <w:numId w:val="2"/>
              </w:numPr>
            </w:pPr>
            <w:r>
              <w:t>Estimate is $7</w:t>
            </w:r>
            <w:r>
              <w:t>9</w:t>
            </w:r>
            <w:r>
              <w:t>7,</w:t>
            </w:r>
            <w:r>
              <w:t>00</w:t>
            </w:r>
            <w:r>
              <w:t>0,000</w:t>
            </w:r>
          </w:p>
          <w:p w14:paraId="21430855" w14:textId="23A371C2" w:rsidR="007131BB" w:rsidRDefault="007131BB" w:rsidP="007131BB">
            <w:pPr>
              <w:pStyle w:val="ListParagraph"/>
              <w:numPr>
                <w:ilvl w:val="0"/>
                <w:numId w:val="2"/>
              </w:numPr>
            </w:pPr>
            <w:r>
              <w:t>Separate appropriation for CSC</w:t>
            </w:r>
          </w:p>
          <w:p w14:paraId="504FE0E3" w14:textId="57269866" w:rsidR="007131BB" w:rsidRDefault="007131BB" w:rsidP="007131BB">
            <w:pPr>
              <w:pStyle w:val="ListParagraph"/>
              <w:numPr>
                <w:ilvl w:val="0"/>
                <w:numId w:val="2"/>
              </w:numPr>
            </w:pPr>
            <w:r>
              <w:t>Carryover clause proposed (Raises accounting concerns if no direct funds are carried over)</w:t>
            </w:r>
          </w:p>
          <w:p w14:paraId="3FC377C2" w14:textId="45E83FEB" w:rsidR="007131BB" w:rsidRDefault="007131BB" w:rsidP="007131BB">
            <w:pPr>
              <w:pStyle w:val="ListParagraph"/>
              <w:numPr>
                <w:ilvl w:val="0"/>
                <w:numId w:val="2"/>
              </w:numPr>
            </w:pPr>
            <w:r>
              <w:t>Notwithstanding clause proposed (grant related) are to be distributed at the discretion of the director</w:t>
            </w:r>
          </w:p>
          <w:p w14:paraId="79E8E718" w14:textId="48D5A754" w:rsidR="007131BB" w:rsidRDefault="007131BB" w:rsidP="007131BB">
            <w:pPr>
              <w:pStyle w:val="ListParagraph"/>
              <w:numPr>
                <w:ilvl w:val="0"/>
                <w:numId w:val="2"/>
              </w:numPr>
            </w:pPr>
            <w:r>
              <w:t>Past Year CSC Claims</w:t>
            </w:r>
          </w:p>
          <w:p w14:paraId="47810F97" w14:textId="2605BD96" w:rsidR="007131BB" w:rsidRDefault="007131BB" w:rsidP="007131BB">
            <w:pPr>
              <w:pStyle w:val="ListParagraph"/>
              <w:numPr>
                <w:ilvl w:val="1"/>
                <w:numId w:val="2"/>
              </w:numPr>
            </w:pPr>
            <w:r>
              <w:t>Mostly Settled</w:t>
            </w:r>
          </w:p>
          <w:p w14:paraId="4546DD90" w14:textId="1908ADB7" w:rsidR="007131BB" w:rsidRDefault="007131BB" w:rsidP="007131BB">
            <w:pPr>
              <w:pStyle w:val="ListParagraph"/>
              <w:numPr>
                <w:ilvl w:val="1"/>
                <w:numId w:val="2"/>
              </w:numPr>
            </w:pPr>
            <w:r>
              <w:t>Contract Disputes Act Process</w:t>
            </w:r>
          </w:p>
          <w:p w14:paraId="7CFD053E" w14:textId="5E763B7E" w:rsidR="007131BB" w:rsidRDefault="007131BB" w:rsidP="007131BB">
            <w:pPr>
              <w:pStyle w:val="ListParagraph"/>
              <w:numPr>
                <w:ilvl w:val="1"/>
                <w:numId w:val="2"/>
              </w:numPr>
            </w:pPr>
            <w:r>
              <w:t>Six-year statute of limitations: FY 2012 still viable</w:t>
            </w:r>
          </w:p>
          <w:p w14:paraId="78D549A1" w14:textId="6D27B883" w:rsidR="007131BB" w:rsidRDefault="007131BB" w:rsidP="007131BB">
            <w:pPr>
              <w:pStyle w:val="ListParagraph"/>
              <w:numPr>
                <w:ilvl w:val="1"/>
                <w:numId w:val="2"/>
              </w:numPr>
            </w:pPr>
            <w:r>
              <w:t>Full funding since ’14 so claims decreasing</w:t>
            </w:r>
          </w:p>
          <w:p w14:paraId="27DE77B2" w14:textId="793C95E1" w:rsidR="007131BB" w:rsidRDefault="007131BB" w:rsidP="007131BB">
            <w:pPr>
              <w:pStyle w:val="ListParagraph"/>
              <w:numPr>
                <w:ilvl w:val="0"/>
                <w:numId w:val="2"/>
              </w:numPr>
            </w:pPr>
            <w:r>
              <w:t xml:space="preserve">Recent Litigation: </w:t>
            </w:r>
            <w:proofErr w:type="gramStart"/>
            <w:r>
              <w:t>the</w:t>
            </w:r>
            <w:proofErr w:type="gramEnd"/>
            <w:r>
              <w:t xml:space="preserve"> Sage Case</w:t>
            </w:r>
          </w:p>
          <w:p w14:paraId="244ECA42" w14:textId="13173FFA" w:rsidR="007131BB" w:rsidRDefault="007131BB" w:rsidP="007131BB">
            <w:pPr>
              <w:pStyle w:val="ListParagraph"/>
              <w:numPr>
                <w:ilvl w:val="1"/>
                <w:numId w:val="2"/>
              </w:numPr>
            </w:pPr>
            <w:r>
              <w:t>Two Major issues: 1. Whether tribe can cover CSC on the 3</w:t>
            </w:r>
            <w:r w:rsidRPr="007131BB">
              <w:rPr>
                <w:vertAlign w:val="superscript"/>
              </w:rPr>
              <w:t>rd</w:t>
            </w:r>
            <w:r>
              <w:t xml:space="preserve"> party revenue funded portion of its health program; 2. Duplication: whether the law refers to duplicating amounts or duplicating categories of funding</w:t>
            </w:r>
          </w:p>
          <w:p w14:paraId="7DFE04E7" w14:textId="574D33B7" w:rsidR="007131BB" w:rsidRDefault="007131BB" w:rsidP="007131BB">
            <w:pPr>
              <w:pStyle w:val="ListParagraph"/>
              <w:numPr>
                <w:ilvl w:val="1"/>
                <w:numId w:val="2"/>
              </w:numPr>
            </w:pPr>
            <w:r>
              <w:t>District court found in favor of tribe but IHS appealed to 10</w:t>
            </w:r>
            <w:r w:rsidRPr="007131BB">
              <w:rPr>
                <w:vertAlign w:val="superscript"/>
              </w:rPr>
              <w:t>th</w:t>
            </w:r>
            <w:r>
              <w:t xml:space="preserve"> Circuit (look for decision in a year)</w:t>
            </w:r>
          </w:p>
          <w:p w14:paraId="47C5E034" w14:textId="44AB0391" w:rsidR="00F06B30" w:rsidRDefault="00F06B30" w:rsidP="00F06B30">
            <w:pPr>
              <w:pStyle w:val="ListParagraph"/>
              <w:numPr>
                <w:ilvl w:val="0"/>
                <w:numId w:val="2"/>
              </w:numPr>
            </w:pPr>
            <w:r>
              <w:t>Recent Litigation: Seminole Case</w:t>
            </w:r>
          </w:p>
          <w:p w14:paraId="6FB4B8ED" w14:textId="16197029" w:rsidR="00F06B30" w:rsidRDefault="00F06B30" w:rsidP="00F06B30">
            <w:pPr>
              <w:pStyle w:val="ListParagraph"/>
              <w:numPr>
                <w:ilvl w:val="1"/>
                <w:numId w:val="2"/>
              </w:numPr>
            </w:pPr>
            <w:r>
              <w:t>Tribe proposes to allocate 98.93% of program funding to salaries, wages, and fringe</w:t>
            </w:r>
          </w:p>
          <w:p w14:paraId="68F09C4D" w14:textId="4306B7BD" w:rsidR="00F06B30" w:rsidRDefault="00F06B30" w:rsidP="00F06B30">
            <w:pPr>
              <w:pStyle w:val="ListParagraph"/>
              <w:numPr>
                <w:ilvl w:val="1"/>
                <w:numId w:val="2"/>
              </w:numPr>
            </w:pPr>
            <w:r>
              <w:t>IHS imposes 80% cap on allocation of appropriated $ to salaries/fringe (IHS spends 71% on salaries/fringes in direct services)</w:t>
            </w:r>
          </w:p>
          <w:p w14:paraId="479AA8BD" w14:textId="71C816FB" w:rsidR="00F06B30" w:rsidRDefault="00F06B30" w:rsidP="00F06B30">
            <w:pPr>
              <w:pStyle w:val="ListParagraph"/>
              <w:numPr>
                <w:ilvl w:val="1"/>
                <w:numId w:val="2"/>
              </w:numPr>
            </w:pPr>
            <w:r>
              <w:t>IHS argues tribe’s reallocation authority under ISDEAA, for purpose of CSC calculation, is limited by reasonableness requirements</w:t>
            </w:r>
          </w:p>
          <w:p w14:paraId="242698D7" w14:textId="43AAC639" w:rsidR="00F06B30" w:rsidRDefault="00F06B30" w:rsidP="00F06B30">
            <w:pPr>
              <w:pStyle w:val="ListParagraph"/>
              <w:numPr>
                <w:ilvl w:val="1"/>
                <w:numId w:val="2"/>
              </w:numPr>
            </w:pPr>
            <w:r>
              <w:t>Complaint just filed; decision not likely until late 2018</w:t>
            </w:r>
          </w:p>
          <w:p w14:paraId="0983422E" w14:textId="1B3D578E" w:rsidR="00F06B30" w:rsidRDefault="00F06B30" w:rsidP="00F06B30">
            <w:pPr>
              <w:pStyle w:val="ListParagraph"/>
              <w:numPr>
                <w:ilvl w:val="0"/>
                <w:numId w:val="2"/>
              </w:numPr>
            </w:pPr>
            <w:r>
              <w:t>Other CSC Issues</w:t>
            </w:r>
          </w:p>
          <w:p w14:paraId="1B549BD5" w14:textId="2619BD88" w:rsidR="00F06B30" w:rsidRDefault="00F06B30" w:rsidP="00F06B30">
            <w:pPr>
              <w:pStyle w:val="ListParagraph"/>
              <w:numPr>
                <w:ilvl w:val="1"/>
                <w:numId w:val="2"/>
              </w:numPr>
            </w:pPr>
            <w:r>
              <w:t>CSC on CHEF</w:t>
            </w:r>
          </w:p>
          <w:p w14:paraId="4488E42C" w14:textId="6AC70702" w:rsidR="00F06B30" w:rsidRDefault="00F06B30" w:rsidP="00F06B30">
            <w:pPr>
              <w:pStyle w:val="ListParagraph"/>
              <w:numPr>
                <w:ilvl w:val="1"/>
                <w:numId w:val="2"/>
              </w:numPr>
            </w:pPr>
            <w:r>
              <w:t>CSC on grants (SASP, DVPP)</w:t>
            </w:r>
          </w:p>
          <w:p w14:paraId="7064D5FA" w14:textId="0630DA32" w:rsidR="00F06B30" w:rsidRDefault="00F06B30" w:rsidP="00F06B30">
            <w:pPr>
              <w:pStyle w:val="ListParagraph"/>
              <w:numPr>
                <w:ilvl w:val="1"/>
                <w:numId w:val="2"/>
              </w:numPr>
            </w:pPr>
            <w:r>
              <w:t>Sub-workgroup for developing estimates for budgeting</w:t>
            </w:r>
          </w:p>
          <w:p w14:paraId="1B2F6451" w14:textId="6AD9600C" w:rsidR="00F06B30" w:rsidRDefault="00F06B30" w:rsidP="00F06B30">
            <w:pPr>
              <w:pStyle w:val="ListParagraph"/>
              <w:numPr>
                <w:ilvl w:val="1"/>
                <w:numId w:val="2"/>
              </w:numPr>
            </w:pPr>
            <w:r>
              <w:t>Review and standardize training for startup cost negotiations</w:t>
            </w:r>
          </w:p>
          <w:p w14:paraId="13DBA8C0" w14:textId="524E11A3" w:rsidR="00F06B30" w:rsidRDefault="00F06B30" w:rsidP="00F06B30">
            <w:pPr>
              <w:pStyle w:val="ListParagraph"/>
              <w:numPr>
                <w:ilvl w:val="1"/>
                <w:numId w:val="2"/>
              </w:numPr>
            </w:pPr>
            <w:r>
              <w:t>Update CSC negotiation template</w:t>
            </w:r>
          </w:p>
          <w:p w14:paraId="26F4889E" w14:textId="7DBEDCAD" w:rsidR="007131BB" w:rsidRDefault="007131BB" w:rsidP="007131BB"/>
          <w:p w14:paraId="3DC75E51" w14:textId="5AD9E386" w:rsidR="008A58F9" w:rsidRDefault="008A58F9" w:rsidP="008A58F9"/>
          <w:p w14:paraId="73FA825D" w14:textId="77777777" w:rsidR="008A58F9" w:rsidRDefault="008A58F9" w:rsidP="008A58F9"/>
          <w:p w14:paraId="77EC0312" w14:textId="77777777" w:rsidR="0031714D" w:rsidRDefault="0031714D"/>
          <w:p w14:paraId="343EC3D3" w14:textId="77777777" w:rsidR="0031714D" w:rsidRDefault="0031714D"/>
          <w:p w14:paraId="66EB39E9" w14:textId="77777777" w:rsidR="0031714D" w:rsidRDefault="0031714D"/>
          <w:p w14:paraId="69198BB0" w14:textId="77777777" w:rsidR="0072275A" w:rsidRDefault="0072275A"/>
          <w:p w14:paraId="1410DC4C" w14:textId="77777777" w:rsidR="0072275A" w:rsidRDefault="0072275A"/>
          <w:p w14:paraId="65DFFEAA" w14:textId="77777777" w:rsidR="0072275A" w:rsidRDefault="0072275A"/>
          <w:p w14:paraId="5D399C4B" w14:textId="77777777" w:rsidR="0031714D" w:rsidRDefault="0031714D"/>
          <w:p w14:paraId="062DCF9A" w14:textId="77777777" w:rsidR="0031714D" w:rsidRDefault="0031714D"/>
        </w:tc>
      </w:tr>
      <w:tr w:rsidR="0031714D" w14:paraId="79657736" w14:textId="77777777" w:rsidTr="00D51679">
        <w:tc>
          <w:tcPr>
            <w:tcW w:w="5000" w:type="pct"/>
            <w:gridSpan w:val="2"/>
          </w:tcPr>
          <w:p w14:paraId="64230AE3" w14:textId="77777777" w:rsidR="0031714D" w:rsidRDefault="0072275A">
            <w:r>
              <w:lastRenderedPageBreak/>
              <w:t>Questions from the Audience:</w:t>
            </w:r>
          </w:p>
          <w:p w14:paraId="2F658CE5" w14:textId="68601485" w:rsidR="0072275A" w:rsidRDefault="00872EAE" w:rsidP="00405CFA">
            <w:pPr>
              <w:pStyle w:val="ListParagraph"/>
              <w:numPr>
                <w:ilvl w:val="0"/>
                <w:numId w:val="3"/>
              </w:numPr>
            </w:pPr>
            <w:r>
              <w:t>Section 6-3 1d6 97/3 method—IHS will continue to assess policy on a regular basis. There is concern about hitting the pause on this policy section. Does this pause also apply to the consultation? Why didn’t we continue with the policy while consolation on this issue ensue?</w:t>
            </w:r>
          </w:p>
          <w:p w14:paraId="49001093" w14:textId="27F94C29" w:rsidR="00872EAE" w:rsidRDefault="00872EAE" w:rsidP="00872EAE">
            <w:pPr>
              <w:pStyle w:val="ListParagraph"/>
              <w:numPr>
                <w:ilvl w:val="1"/>
                <w:numId w:val="3"/>
              </w:numPr>
            </w:pPr>
            <w:r>
              <w:t>IHS response was that the concerns were significant enough to reach decision to suspend</w:t>
            </w:r>
          </w:p>
          <w:p w14:paraId="21EB968A" w14:textId="5965C1C2" w:rsidR="00872EAE" w:rsidRDefault="00872EAE" w:rsidP="00872EAE">
            <w:pPr>
              <w:pStyle w:val="ListParagraph"/>
              <w:numPr>
                <w:ilvl w:val="1"/>
                <w:numId w:val="3"/>
              </w:numPr>
            </w:pPr>
            <w:r>
              <w:t>IHS wants to resolve this as soon as possible and IHS is probing into how to calculate the impact on the 97/3</w:t>
            </w:r>
          </w:p>
          <w:p w14:paraId="2FC70EDD" w14:textId="6D067461" w:rsidR="00872EAE" w:rsidRDefault="00872EAE" w:rsidP="00872EAE">
            <w:pPr>
              <w:pStyle w:val="ListParagraph"/>
              <w:numPr>
                <w:ilvl w:val="0"/>
                <w:numId w:val="3"/>
              </w:numPr>
            </w:pPr>
            <w:r>
              <w:t>How does this support the premise of self-governance? Re-Budgeting Seminole Case in capping salaries?</w:t>
            </w:r>
          </w:p>
          <w:p w14:paraId="23142616" w14:textId="4E818C04" w:rsidR="00872EAE" w:rsidRDefault="00872EAE" w:rsidP="00872EAE">
            <w:pPr>
              <w:pStyle w:val="ListParagraph"/>
              <w:numPr>
                <w:ilvl w:val="1"/>
                <w:numId w:val="3"/>
              </w:numPr>
            </w:pPr>
            <w:r>
              <w:t>Encouragement to tribes to submit written comments on current consultation</w:t>
            </w:r>
          </w:p>
          <w:p w14:paraId="5AE54D58" w14:textId="2A41FCC0" w:rsidR="00872EAE" w:rsidRDefault="00872EAE" w:rsidP="00872EAE">
            <w:pPr>
              <w:pStyle w:val="ListParagraph"/>
              <w:numPr>
                <w:ilvl w:val="1"/>
                <w:numId w:val="3"/>
              </w:numPr>
            </w:pPr>
            <w:r>
              <w:t xml:space="preserve">CSC policy represents a compromise with tribes pushing for most control of self-determination. IHS concerns are that funding is accurate and fiscally responsible. </w:t>
            </w:r>
          </w:p>
          <w:p w14:paraId="408A20A6" w14:textId="62012CC3" w:rsidR="001C11B6" w:rsidRDefault="001C11B6" w:rsidP="00872EAE">
            <w:pPr>
              <w:pStyle w:val="ListParagraph"/>
              <w:numPr>
                <w:ilvl w:val="1"/>
                <w:numId w:val="3"/>
              </w:numPr>
            </w:pPr>
            <w:r>
              <w:t>Other comments already submitted if tribes want to review. Susanville Rancheria example</w:t>
            </w:r>
          </w:p>
          <w:p w14:paraId="621F1DAA" w14:textId="25E18A31" w:rsidR="001C11B6" w:rsidRDefault="001C11B6" w:rsidP="001C11B6">
            <w:pPr>
              <w:pStyle w:val="ListParagraph"/>
              <w:numPr>
                <w:ilvl w:val="0"/>
                <w:numId w:val="3"/>
              </w:numPr>
            </w:pPr>
            <w:r>
              <w:t>Comment on concerns about private standing health facilities that refer to hospitals who charge excessively</w:t>
            </w:r>
            <w:r w:rsidR="00E45FE3">
              <w:t>.</w:t>
            </w:r>
          </w:p>
          <w:p w14:paraId="587F4BFF" w14:textId="437916C1" w:rsidR="00801D09" w:rsidRDefault="00801D09" w:rsidP="001C11B6">
            <w:pPr>
              <w:pStyle w:val="ListParagraph"/>
              <w:numPr>
                <w:ilvl w:val="0"/>
                <w:numId w:val="3"/>
              </w:numPr>
            </w:pPr>
            <w:r>
              <w:t xml:space="preserve">Full funding w/ Seminole Case concern regarding the 80% cap is not in the statute or regulations. Question is how does IHS come up with that decision to cap salaries? </w:t>
            </w:r>
          </w:p>
          <w:p w14:paraId="176AD15E" w14:textId="15013BB2" w:rsidR="00801D09" w:rsidRDefault="00801D09" w:rsidP="00801D09">
            <w:pPr>
              <w:pStyle w:val="ListParagraph"/>
              <w:numPr>
                <w:ilvl w:val="1"/>
                <w:numId w:val="3"/>
              </w:numPr>
            </w:pPr>
            <w:r>
              <w:t>According to tribal attorneys, the IHS made this cap up</w:t>
            </w:r>
          </w:p>
          <w:p w14:paraId="6B5BE1A5" w14:textId="09ECF132" w:rsidR="00801D09" w:rsidRDefault="00801D09" w:rsidP="00801D09">
            <w:pPr>
              <w:pStyle w:val="ListParagraph"/>
              <w:numPr>
                <w:ilvl w:val="0"/>
                <w:numId w:val="3"/>
              </w:numPr>
            </w:pPr>
            <w:r>
              <w:t xml:space="preserve">Committee language on grants—What will happen to this in 2019? </w:t>
            </w:r>
          </w:p>
          <w:p w14:paraId="5B54B4AD" w14:textId="1A320E83" w:rsidR="00801D09" w:rsidRDefault="00801D09" w:rsidP="00801D09">
            <w:pPr>
              <w:pStyle w:val="ListParagraph"/>
              <w:numPr>
                <w:ilvl w:val="1"/>
                <w:numId w:val="3"/>
              </w:numPr>
            </w:pPr>
            <w:r>
              <w:t>IHS has not decided yet</w:t>
            </w:r>
          </w:p>
          <w:p w14:paraId="0D63794E" w14:textId="788F27C0" w:rsidR="00801D09" w:rsidRDefault="00801D09" w:rsidP="00801D09">
            <w:pPr>
              <w:pStyle w:val="ListParagraph"/>
              <w:numPr>
                <w:ilvl w:val="0"/>
                <w:numId w:val="3"/>
              </w:numPr>
            </w:pPr>
            <w:r>
              <w:t>If the 97/3 option is suspended, what currently happens today?</w:t>
            </w:r>
          </w:p>
          <w:p w14:paraId="26F4ED5C" w14:textId="4433EE20" w:rsidR="00801D09" w:rsidRDefault="005B4865" w:rsidP="00801D09">
            <w:pPr>
              <w:pStyle w:val="ListParagraph"/>
              <w:numPr>
                <w:ilvl w:val="1"/>
                <w:numId w:val="3"/>
              </w:numPr>
            </w:pPr>
            <w:r>
              <w:t>Triggers</w:t>
            </w:r>
            <w:bookmarkStart w:id="0" w:name="_GoBack"/>
            <w:bookmarkEnd w:id="0"/>
            <w:r w:rsidR="00801D09">
              <w:t>, new and expanded</w:t>
            </w:r>
          </w:p>
          <w:p w14:paraId="0CC5E788" w14:textId="3A34E1A5" w:rsidR="00801D09" w:rsidRDefault="00801D09" w:rsidP="00801D09">
            <w:pPr>
              <w:pStyle w:val="ListParagraph"/>
              <w:numPr>
                <w:ilvl w:val="1"/>
                <w:numId w:val="3"/>
              </w:numPr>
            </w:pPr>
            <w:r>
              <w:t>JV facility</w:t>
            </w:r>
          </w:p>
          <w:p w14:paraId="19C13D74" w14:textId="0BF51549" w:rsidR="00801D09" w:rsidRDefault="00801D09" w:rsidP="00801D09">
            <w:pPr>
              <w:pStyle w:val="ListParagraph"/>
              <w:numPr>
                <w:ilvl w:val="1"/>
                <w:numId w:val="3"/>
              </w:numPr>
            </w:pPr>
            <w:r>
              <w:t xml:space="preserve">Did IDC rate change </w:t>
            </w:r>
            <w:proofErr w:type="gramStart"/>
            <w:r>
              <w:t>materially</w:t>
            </w:r>
            <w:proofErr w:type="gramEnd"/>
          </w:p>
          <w:p w14:paraId="714B4233" w14:textId="2178C7EF" w:rsidR="00801D09" w:rsidRDefault="00801D09" w:rsidP="00801D09">
            <w:pPr>
              <w:pStyle w:val="ListParagraph"/>
              <w:numPr>
                <w:ilvl w:val="1"/>
                <w:numId w:val="3"/>
              </w:numPr>
            </w:pPr>
            <w:r>
              <w:t xml:space="preserve">Did you request a </w:t>
            </w:r>
            <w:proofErr w:type="gramStart"/>
            <w:r>
              <w:t>renegotiations</w:t>
            </w:r>
            <w:proofErr w:type="gramEnd"/>
          </w:p>
          <w:p w14:paraId="319AE3D5" w14:textId="1EA19B12" w:rsidR="005024CA" w:rsidRDefault="005024CA" w:rsidP="005024CA">
            <w:pPr>
              <w:pStyle w:val="ListParagraph"/>
              <w:numPr>
                <w:ilvl w:val="0"/>
                <w:numId w:val="3"/>
              </w:numPr>
            </w:pPr>
            <w:r>
              <w:t xml:space="preserve">Hoopa Valley concerns with a current negotiation that has been suspended. Hoopa feels they are being treated unfairly with their negotiations. </w:t>
            </w:r>
          </w:p>
          <w:p w14:paraId="38C6B76A" w14:textId="30540C17" w:rsidR="005024CA" w:rsidRDefault="004E43FD" w:rsidP="005024CA">
            <w:pPr>
              <w:pStyle w:val="ListParagraph"/>
              <w:numPr>
                <w:ilvl w:val="0"/>
                <w:numId w:val="3"/>
              </w:numPr>
            </w:pPr>
            <w:r>
              <w:t>Requesting additional training for Navajo area for CSC due to renegotiation opportunities</w:t>
            </w:r>
          </w:p>
          <w:p w14:paraId="40964484" w14:textId="77777777" w:rsidR="004E43FD" w:rsidRDefault="004E43FD" w:rsidP="005024CA">
            <w:pPr>
              <w:pStyle w:val="ListParagraph"/>
              <w:numPr>
                <w:ilvl w:val="0"/>
                <w:numId w:val="3"/>
              </w:numPr>
            </w:pPr>
            <w:r>
              <w:t xml:space="preserve">How is CSC monitored to prevent late payments? </w:t>
            </w:r>
          </w:p>
          <w:p w14:paraId="2360A247" w14:textId="077C3ED0" w:rsidR="004E43FD" w:rsidRDefault="004E43FD" w:rsidP="004E43FD">
            <w:pPr>
              <w:pStyle w:val="ListParagraph"/>
              <w:numPr>
                <w:ilvl w:val="1"/>
                <w:numId w:val="3"/>
              </w:numPr>
            </w:pPr>
            <w:r>
              <w:t xml:space="preserve">IHS has a tracking system with all areas reporting data. </w:t>
            </w:r>
          </w:p>
          <w:p w14:paraId="65DAEC47" w14:textId="77777777" w:rsidR="0072275A" w:rsidRDefault="0072275A"/>
          <w:p w14:paraId="1AA75DC0" w14:textId="77777777" w:rsidR="0072275A" w:rsidRDefault="0072275A"/>
          <w:p w14:paraId="21C44F31" w14:textId="77777777" w:rsidR="0072275A" w:rsidRDefault="0072275A"/>
          <w:p w14:paraId="031EC65F" w14:textId="77777777" w:rsidR="0072275A" w:rsidRDefault="0072275A"/>
          <w:p w14:paraId="4EACED7F" w14:textId="77777777" w:rsidR="0072275A" w:rsidRDefault="0072275A"/>
          <w:p w14:paraId="5B2009D0" w14:textId="77777777" w:rsidR="0072275A" w:rsidRDefault="0072275A"/>
          <w:p w14:paraId="772557E3" w14:textId="77777777" w:rsidR="0031714D" w:rsidRDefault="0031714D"/>
          <w:p w14:paraId="6EA98BCF" w14:textId="77777777" w:rsidR="0031714D" w:rsidRDefault="0031714D"/>
        </w:tc>
      </w:tr>
      <w:tr w:rsidR="0072275A" w14:paraId="37101B9D" w14:textId="77777777" w:rsidTr="00D51679">
        <w:tc>
          <w:tcPr>
            <w:tcW w:w="5000" w:type="pct"/>
            <w:gridSpan w:val="2"/>
          </w:tcPr>
          <w:p w14:paraId="449B4BED" w14:textId="77777777" w:rsidR="0072275A" w:rsidRDefault="0072275A">
            <w:r>
              <w:t>Follow Materials, Documents, Websites for Reference:</w:t>
            </w:r>
          </w:p>
          <w:p w14:paraId="14BC9FF0" w14:textId="77777777" w:rsidR="0072275A" w:rsidRDefault="0072275A"/>
          <w:p w14:paraId="23506FB0" w14:textId="77777777" w:rsidR="0072275A" w:rsidRDefault="0072275A"/>
          <w:p w14:paraId="5FD980F0" w14:textId="77777777" w:rsidR="0072275A" w:rsidRDefault="0072275A"/>
          <w:p w14:paraId="36345466" w14:textId="77777777" w:rsidR="0072275A" w:rsidRDefault="0072275A"/>
          <w:p w14:paraId="1096A566" w14:textId="77777777" w:rsidR="0072275A" w:rsidRDefault="0072275A"/>
          <w:p w14:paraId="7E53F372" w14:textId="77777777" w:rsidR="0072275A" w:rsidRDefault="0072275A"/>
          <w:p w14:paraId="75AF61DC" w14:textId="77777777" w:rsidR="0072275A" w:rsidRDefault="0072275A"/>
          <w:p w14:paraId="644A2217" w14:textId="77777777" w:rsidR="0072275A" w:rsidRDefault="0072275A"/>
          <w:p w14:paraId="0B0ABF39" w14:textId="77777777" w:rsidR="0072275A" w:rsidRDefault="0072275A"/>
          <w:p w14:paraId="3656B2A4" w14:textId="77777777" w:rsidR="0072275A" w:rsidRDefault="0072275A"/>
        </w:tc>
      </w:tr>
    </w:tbl>
    <w:p w14:paraId="00002E4E" w14:textId="77777777" w:rsidR="00737E79" w:rsidRDefault="00737E79"/>
    <w:sectPr w:rsidR="00737E79" w:rsidSect="003171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lloonEFExtra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5CD"/>
    <w:multiLevelType w:val="hybridMultilevel"/>
    <w:tmpl w:val="73AE4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7A17BE"/>
    <w:multiLevelType w:val="hybridMultilevel"/>
    <w:tmpl w:val="0E067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81216C"/>
    <w:multiLevelType w:val="hybridMultilevel"/>
    <w:tmpl w:val="C10ED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E79"/>
    <w:rsid w:val="000053B1"/>
    <w:rsid w:val="00006090"/>
    <w:rsid w:val="00010AF5"/>
    <w:rsid w:val="00022771"/>
    <w:rsid w:val="00056408"/>
    <w:rsid w:val="000604AC"/>
    <w:rsid w:val="00066A49"/>
    <w:rsid w:val="000671AD"/>
    <w:rsid w:val="00067493"/>
    <w:rsid w:val="000839EA"/>
    <w:rsid w:val="000857D1"/>
    <w:rsid w:val="000872D4"/>
    <w:rsid w:val="000A103D"/>
    <w:rsid w:val="000A2AE5"/>
    <w:rsid w:val="000A7218"/>
    <w:rsid w:val="000A777B"/>
    <w:rsid w:val="000B2EF2"/>
    <w:rsid w:val="000B3CF7"/>
    <w:rsid w:val="000B6AE2"/>
    <w:rsid w:val="000C4AD7"/>
    <w:rsid w:val="000D4CDC"/>
    <w:rsid w:val="000D7C88"/>
    <w:rsid w:val="000E18C2"/>
    <w:rsid w:val="000E1FAE"/>
    <w:rsid w:val="000E23BE"/>
    <w:rsid w:val="000E469E"/>
    <w:rsid w:val="000E6258"/>
    <w:rsid w:val="000F17E1"/>
    <w:rsid w:val="00105DAC"/>
    <w:rsid w:val="00114C80"/>
    <w:rsid w:val="00115314"/>
    <w:rsid w:val="00120CB6"/>
    <w:rsid w:val="00121713"/>
    <w:rsid w:val="0013221C"/>
    <w:rsid w:val="00134C72"/>
    <w:rsid w:val="00135918"/>
    <w:rsid w:val="00135A85"/>
    <w:rsid w:val="00142F83"/>
    <w:rsid w:val="00143786"/>
    <w:rsid w:val="00150190"/>
    <w:rsid w:val="00162FE2"/>
    <w:rsid w:val="00163A28"/>
    <w:rsid w:val="00170CE7"/>
    <w:rsid w:val="0017124B"/>
    <w:rsid w:val="00174B38"/>
    <w:rsid w:val="00182018"/>
    <w:rsid w:val="00182D3F"/>
    <w:rsid w:val="00186F8F"/>
    <w:rsid w:val="001911B4"/>
    <w:rsid w:val="0019587B"/>
    <w:rsid w:val="001A10AD"/>
    <w:rsid w:val="001A3216"/>
    <w:rsid w:val="001A6BBD"/>
    <w:rsid w:val="001B11BF"/>
    <w:rsid w:val="001B4524"/>
    <w:rsid w:val="001B6040"/>
    <w:rsid w:val="001C0528"/>
    <w:rsid w:val="001C11B6"/>
    <w:rsid w:val="001C5271"/>
    <w:rsid w:val="001D6BE9"/>
    <w:rsid w:val="001E5F73"/>
    <w:rsid w:val="001E72EB"/>
    <w:rsid w:val="001F0A24"/>
    <w:rsid w:val="001F37A8"/>
    <w:rsid w:val="001F43A7"/>
    <w:rsid w:val="00207BD1"/>
    <w:rsid w:val="00211512"/>
    <w:rsid w:val="00214645"/>
    <w:rsid w:val="00214A63"/>
    <w:rsid w:val="00226078"/>
    <w:rsid w:val="00230058"/>
    <w:rsid w:val="0023183B"/>
    <w:rsid w:val="00231C58"/>
    <w:rsid w:val="00232765"/>
    <w:rsid w:val="00236B63"/>
    <w:rsid w:val="00242674"/>
    <w:rsid w:val="0025565F"/>
    <w:rsid w:val="00257763"/>
    <w:rsid w:val="0026311A"/>
    <w:rsid w:val="0026608E"/>
    <w:rsid w:val="00281EFA"/>
    <w:rsid w:val="00286C37"/>
    <w:rsid w:val="0029216A"/>
    <w:rsid w:val="00293550"/>
    <w:rsid w:val="00293B13"/>
    <w:rsid w:val="002A033D"/>
    <w:rsid w:val="002B5014"/>
    <w:rsid w:val="002D6469"/>
    <w:rsid w:val="002D697B"/>
    <w:rsid w:val="002E42F3"/>
    <w:rsid w:val="002E5F86"/>
    <w:rsid w:val="002F41DE"/>
    <w:rsid w:val="00300166"/>
    <w:rsid w:val="00302609"/>
    <w:rsid w:val="00306A65"/>
    <w:rsid w:val="00312FEC"/>
    <w:rsid w:val="0031595B"/>
    <w:rsid w:val="00316EB9"/>
    <w:rsid w:val="0031714D"/>
    <w:rsid w:val="0032036F"/>
    <w:rsid w:val="00321DB4"/>
    <w:rsid w:val="00325ADF"/>
    <w:rsid w:val="0033300B"/>
    <w:rsid w:val="003423A9"/>
    <w:rsid w:val="00346E2D"/>
    <w:rsid w:val="00346E59"/>
    <w:rsid w:val="00347FCD"/>
    <w:rsid w:val="0035031C"/>
    <w:rsid w:val="0035434E"/>
    <w:rsid w:val="00354ADF"/>
    <w:rsid w:val="00355D44"/>
    <w:rsid w:val="00365C3A"/>
    <w:rsid w:val="003853F9"/>
    <w:rsid w:val="00385ED2"/>
    <w:rsid w:val="00386221"/>
    <w:rsid w:val="00391567"/>
    <w:rsid w:val="0039222B"/>
    <w:rsid w:val="00393B91"/>
    <w:rsid w:val="00394AE2"/>
    <w:rsid w:val="003A3D97"/>
    <w:rsid w:val="003A62D9"/>
    <w:rsid w:val="003B4662"/>
    <w:rsid w:val="003C4639"/>
    <w:rsid w:val="003C4C14"/>
    <w:rsid w:val="003D4105"/>
    <w:rsid w:val="003D6453"/>
    <w:rsid w:val="003D7659"/>
    <w:rsid w:val="003E1B8C"/>
    <w:rsid w:val="003F72E7"/>
    <w:rsid w:val="00405CFA"/>
    <w:rsid w:val="00412791"/>
    <w:rsid w:val="00426DF5"/>
    <w:rsid w:val="00444509"/>
    <w:rsid w:val="00444AA8"/>
    <w:rsid w:val="00446102"/>
    <w:rsid w:val="00446EB9"/>
    <w:rsid w:val="00451583"/>
    <w:rsid w:val="0045706D"/>
    <w:rsid w:val="00460B27"/>
    <w:rsid w:val="004620D4"/>
    <w:rsid w:val="0047175E"/>
    <w:rsid w:val="004750D4"/>
    <w:rsid w:val="004801F1"/>
    <w:rsid w:val="00484D94"/>
    <w:rsid w:val="0048784C"/>
    <w:rsid w:val="00493E00"/>
    <w:rsid w:val="004978D0"/>
    <w:rsid w:val="004B6109"/>
    <w:rsid w:val="004B68B5"/>
    <w:rsid w:val="004C08C9"/>
    <w:rsid w:val="004D291F"/>
    <w:rsid w:val="004D4448"/>
    <w:rsid w:val="004E1495"/>
    <w:rsid w:val="004E4360"/>
    <w:rsid w:val="004E43FD"/>
    <w:rsid w:val="004E7960"/>
    <w:rsid w:val="005024CA"/>
    <w:rsid w:val="00505205"/>
    <w:rsid w:val="00510807"/>
    <w:rsid w:val="00512C1D"/>
    <w:rsid w:val="00513953"/>
    <w:rsid w:val="00514A5A"/>
    <w:rsid w:val="005270F7"/>
    <w:rsid w:val="00550443"/>
    <w:rsid w:val="0055045D"/>
    <w:rsid w:val="00550FA2"/>
    <w:rsid w:val="005521F6"/>
    <w:rsid w:val="00555ECB"/>
    <w:rsid w:val="00560313"/>
    <w:rsid w:val="005630F0"/>
    <w:rsid w:val="00563CA4"/>
    <w:rsid w:val="005700C7"/>
    <w:rsid w:val="00571CEF"/>
    <w:rsid w:val="00573AB5"/>
    <w:rsid w:val="005774A1"/>
    <w:rsid w:val="00580B65"/>
    <w:rsid w:val="00583137"/>
    <w:rsid w:val="00584BBB"/>
    <w:rsid w:val="00586F37"/>
    <w:rsid w:val="00591C11"/>
    <w:rsid w:val="0059796A"/>
    <w:rsid w:val="005A3261"/>
    <w:rsid w:val="005A3D7E"/>
    <w:rsid w:val="005A7948"/>
    <w:rsid w:val="005B0797"/>
    <w:rsid w:val="005B3EA4"/>
    <w:rsid w:val="005B45E3"/>
    <w:rsid w:val="005B4865"/>
    <w:rsid w:val="005B6A64"/>
    <w:rsid w:val="005C1FAB"/>
    <w:rsid w:val="005E620E"/>
    <w:rsid w:val="005F484C"/>
    <w:rsid w:val="005F6F95"/>
    <w:rsid w:val="00604127"/>
    <w:rsid w:val="00604297"/>
    <w:rsid w:val="00614883"/>
    <w:rsid w:val="00631FAB"/>
    <w:rsid w:val="00633B5F"/>
    <w:rsid w:val="00635E6E"/>
    <w:rsid w:val="00641191"/>
    <w:rsid w:val="00650332"/>
    <w:rsid w:val="00654A57"/>
    <w:rsid w:val="00667F94"/>
    <w:rsid w:val="006703DB"/>
    <w:rsid w:val="0068648F"/>
    <w:rsid w:val="00690B5F"/>
    <w:rsid w:val="00691A8A"/>
    <w:rsid w:val="006D1116"/>
    <w:rsid w:val="006E0A55"/>
    <w:rsid w:val="006F3641"/>
    <w:rsid w:val="006F7360"/>
    <w:rsid w:val="00706C59"/>
    <w:rsid w:val="00711D1A"/>
    <w:rsid w:val="007131BB"/>
    <w:rsid w:val="0072275A"/>
    <w:rsid w:val="00727C4D"/>
    <w:rsid w:val="00732B6F"/>
    <w:rsid w:val="00734BC7"/>
    <w:rsid w:val="00736C7B"/>
    <w:rsid w:val="00737869"/>
    <w:rsid w:val="00737E79"/>
    <w:rsid w:val="00741F5C"/>
    <w:rsid w:val="00745866"/>
    <w:rsid w:val="00752613"/>
    <w:rsid w:val="00757F6B"/>
    <w:rsid w:val="00760789"/>
    <w:rsid w:val="007771FC"/>
    <w:rsid w:val="00781581"/>
    <w:rsid w:val="00783290"/>
    <w:rsid w:val="007859FD"/>
    <w:rsid w:val="00790E17"/>
    <w:rsid w:val="00791274"/>
    <w:rsid w:val="00793940"/>
    <w:rsid w:val="007A312D"/>
    <w:rsid w:val="007A779D"/>
    <w:rsid w:val="007B0D2F"/>
    <w:rsid w:val="007B1737"/>
    <w:rsid w:val="007E27A9"/>
    <w:rsid w:val="007E7630"/>
    <w:rsid w:val="007F4AF6"/>
    <w:rsid w:val="007F79AF"/>
    <w:rsid w:val="00801D09"/>
    <w:rsid w:val="00802BD8"/>
    <w:rsid w:val="00804F86"/>
    <w:rsid w:val="00816771"/>
    <w:rsid w:val="00816E79"/>
    <w:rsid w:val="00822D17"/>
    <w:rsid w:val="00831A74"/>
    <w:rsid w:val="00833A82"/>
    <w:rsid w:val="00841502"/>
    <w:rsid w:val="00842D57"/>
    <w:rsid w:val="008476E0"/>
    <w:rsid w:val="00850679"/>
    <w:rsid w:val="0085272C"/>
    <w:rsid w:val="0085284B"/>
    <w:rsid w:val="00872EAE"/>
    <w:rsid w:val="0087697D"/>
    <w:rsid w:val="00877A83"/>
    <w:rsid w:val="008827D9"/>
    <w:rsid w:val="00893126"/>
    <w:rsid w:val="00896BAD"/>
    <w:rsid w:val="00896F83"/>
    <w:rsid w:val="008A4890"/>
    <w:rsid w:val="008A58F9"/>
    <w:rsid w:val="008A7DC8"/>
    <w:rsid w:val="008B25DE"/>
    <w:rsid w:val="008C4C29"/>
    <w:rsid w:val="008C655B"/>
    <w:rsid w:val="008D2A82"/>
    <w:rsid w:val="008D3641"/>
    <w:rsid w:val="008E4B64"/>
    <w:rsid w:val="008F5E77"/>
    <w:rsid w:val="009044DE"/>
    <w:rsid w:val="00906167"/>
    <w:rsid w:val="009268D8"/>
    <w:rsid w:val="00931AA1"/>
    <w:rsid w:val="00935C96"/>
    <w:rsid w:val="00953B23"/>
    <w:rsid w:val="00960A25"/>
    <w:rsid w:val="009611A0"/>
    <w:rsid w:val="0096516A"/>
    <w:rsid w:val="00972E5E"/>
    <w:rsid w:val="00982173"/>
    <w:rsid w:val="009857ED"/>
    <w:rsid w:val="009873CD"/>
    <w:rsid w:val="00991D58"/>
    <w:rsid w:val="009929CF"/>
    <w:rsid w:val="00997B87"/>
    <w:rsid w:val="009B6B4E"/>
    <w:rsid w:val="009D28B7"/>
    <w:rsid w:val="009D4569"/>
    <w:rsid w:val="009D4B81"/>
    <w:rsid w:val="009F5071"/>
    <w:rsid w:val="009F5AB0"/>
    <w:rsid w:val="00A003F7"/>
    <w:rsid w:val="00A00BBF"/>
    <w:rsid w:val="00A00D7A"/>
    <w:rsid w:val="00A05D32"/>
    <w:rsid w:val="00A11C87"/>
    <w:rsid w:val="00A20097"/>
    <w:rsid w:val="00A22FB1"/>
    <w:rsid w:val="00A269AB"/>
    <w:rsid w:val="00A3523A"/>
    <w:rsid w:val="00A44AC9"/>
    <w:rsid w:val="00A46162"/>
    <w:rsid w:val="00A5440A"/>
    <w:rsid w:val="00A546B2"/>
    <w:rsid w:val="00A57311"/>
    <w:rsid w:val="00A67F50"/>
    <w:rsid w:val="00A81967"/>
    <w:rsid w:val="00A854E7"/>
    <w:rsid w:val="00A9709B"/>
    <w:rsid w:val="00AB0836"/>
    <w:rsid w:val="00AB29D5"/>
    <w:rsid w:val="00AC2D55"/>
    <w:rsid w:val="00AC4145"/>
    <w:rsid w:val="00AC7702"/>
    <w:rsid w:val="00AD0FCD"/>
    <w:rsid w:val="00AD276D"/>
    <w:rsid w:val="00AD4160"/>
    <w:rsid w:val="00AE1AF0"/>
    <w:rsid w:val="00AE40D6"/>
    <w:rsid w:val="00AF0658"/>
    <w:rsid w:val="00AF59C6"/>
    <w:rsid w:val="00AF67A6"/>
    <w:rsid w:val="00B0789C"/>
    <w:rsid w:val="00B1304C"/>
    <w:rsid w:val="00B52555"/>
    <w:rsid w:val="00B60A0F"/>
    <w:rsid w:val="00B633A3"/>
    <w:rsid w:val="00B65E5D"/>
    <w:rsid w:val="00B9504E"/>
    <w:rsid w:val="00B97DCF"/>
    <w:rsid w:val="00BA45DC"/>
    <w:rsid w:val="00BA7E4F"/>
    <w:rsid w:val="00BD3CC7"/>
    <w:rsid w:val="00BD5F01"/>
    <w:rsid w:val="00BE1340"/>
    <w:rsid w:val="00BE2152"/>
    <w:rsid w:val="00BE4A52"/>
    <w:rsid w:val="00BF3482"/>
    <w:rsid w:val="00BF4FE0"/>
    <w:rsid w:val="00C12606"/>
    <w:rsid w:val="00C17388"/>
    <w:rsid w:val="00C23179"/>
    <w:rsid w:val="00C32117"/>
    <w:rsid w:val="00C40099"/>
    <w:rsid w:val="00C405F1"/>
    <w:rsid w:val="00C44BA7"/>
    <w:rsid w:val="00C47D31"/>
    <w:rsid w:val="00C50DF5"/>
    <w:rsid w:val="00C55EFA"/>
    <w:rsid w:val="00C575F1"/>
    <w:rsid w:val="00C57675"/>
    <w:rsid w:val="00C64868"/>
    <w:rsid w:val="00C904FA"/>
    <w:rsid w:val="00C97392"/>
    <w:rsid w:val="00CA0F58"/>
    <w:rsid w:val="00CA1A48"/>
    <w:rsid w:val="00CB419B"/>
    <w:rsid w:val="00CC0918"/>
    <w:rsid w:val="00CC5C6A"/>
    <w:rsid w:val="00CC6E88"/>
    <w:rsid w:val="00CD3A87"/>
    <w:rsid w:val="00CD4095"/>
    <w:rsid w:val="00CE18C7"/>
    <w:rsid w:val="00D0294D"/>
    <w:rsid w:val="00D14851"/>
    <w:rsid w:val="00D21DFD"/>
    <w:rsid w:val="00D25630"/>
    <w:rsid w:val="00D31DB6"/>
    <w:rsid w:val="00D34928"/>
    <w:rsid w:val="00D350FF"/>
    <w:rsid w:val="00D3518A"/>
    <w:rsid w:val="00D366DF"/>
    <w:rsid w:val="00D422DE"/>
    <w:rsid w:val="00D51679"/>
    <w:rsid w:val="00D53AE7"/>
    <w:rsid w:val="00D54D6D"/>
    <w:rsid w:val="00D55B9F"/>
    <w:rsid w:val="00D603C4"/>
    <w:rsid w:val="00D7048C"/>
    <w:rsid w:val="00D73829"/>
    <w:rsid w:val="00D80D7E"/>
    <w:rsid w:val="00D81F12"/>
    <w:rsid w:val="00D871AE"/>
    <w:rsid w:val="00D87703"/>
    <w:rsid w:val="00D92BF6"/>
    <w:rsid w:val="00DA04B8"/>
    <w:rsid w:val="00DA3C8F"/>
    <w:rsid w:val="00DA67D5"/>
    <w:rsid w:val="00DB0A74"/>
    <w:rsid w:val="00DB153F"/>
    <w:rsid w:val="00DB2847"/>
    <w:rsid w:val="00DB5249"/>
    <w:rsid w:val="00DC1091"/>
    <w:rsid w:val="00DC18D8"/>
    <w:rsid w:val="00DC2919"/>
    <w:rsid w:val="00DC3884"/>
    <w:rsid w:val="00DC4C04"/>
    <w:rsid w:val="00DC6C2A"/>
    <w:rsid w:val="00DD284B"/>
    <w:rsid w:val="00DE1371"/>
    <w:rsid w:val="00DE3B3D"/>
    <w:rsid w:val="00DE4D0E"/>
    <w:rsid w:val="00DF1B1A"/>
    <w:rsid w:val="00DF2E34"/>
    <w:rsid w:val="00DF794F"/>
    <w:rsid w:val="00E03757"/>
    <w:rsid w:val="00E1389B"/>
    <w:rsid w:val="00E13E22"/>
    <w:rsid w:val="00E2005C"/>
    <w:rsid w:val="00E23ECC"/>
    <w:rsid w:val="00E33225"/>
    <w:rsid w:val="00E33E89"/>
    <w:rsid w:val="00E45FE3"/>
    <w:rsid w:val="00E51536"/>
    <w:rsid w:val="00E51F99"/>
    <w:rsid w:val="00E52B1C"/>
    <w:rsid w:val="00E53D93"/>
    <w:rsid w:val="00E54394"/>
    <w:rsid w:val="00E57C28"/>
    <w:rsid w:val="00E61CF7"/>
    <w:rsid w:val="00E62A79"/>
    <w:rsid w:val="00E62B17"/>
    <w:rsid w:val="00E63117"/>
    <w:rsid w:val="00E64FB9"/>
    <w:rsid w:val="00E6527C"/>
    <w:rsid w:val="00E86F7E"/>
    <w:rsid w:val="00E9619F"/>
    <w:rsid w:val="00E979F3"/>
    <w:rsid w:val="00EA0169"/>
    <w:rsid w:val="00EA129D"/>
    <w:rsid w:val="00EA2100"/>
    <w:rsid w:val="00EA2FB2"/>
    <w:rsid w:val="00EA745C"/>
    <w:rsid w:val="00EB2371"/>
    <w:rsid w:val="00EB337D"/>
    <w:rsid w:val="00EC41D0"/>
    <w:rsid w:val="00EC4B41"/>
    <w:rsid w:val="00EC7EAA"/>
    <w:rsid w:val="00ED056C"/>
    <w:rsid w:val="00ED151D"/>
    <w:rsid w:val="00ED1540"/>
    <w:rsid w:val="00ED37A6"/>
    <w:rsid w:val="00ED3897"/>
    <w:rsid w:val="00EF1D46"/>
    <w:rsid w:val="00EF2060"/>
    <w:rsid w:val="00EF46B6"/>
    <w:rsid w:val="00F05F68"/>
    <w:rsid w:val="00F06B30"/>
    <w:rsid w:val="00F0708B"/>
    <w:rsid w:val="00F15736"/>
    <w:rsid w:val="00F3021F"/>
    <w:rsid w:val="00F3051A"/>
    <w:rsid w:val="00F31B1B"/>
    <w:rsid w:val="00F33BB9"/>
    <w:rsid w:val="00F36674"/>
    <w:rsid w:val="00F4490C"/>
    <w:rsid w:val="00F524E5"/>
    <w:rsid w:val="00F56027"/>
    <w:rsid w:val="00F5648C"/>
    <w:rsid w:val="00F62F05"/>
    <w:rsid w:val="00F65460"/>
    <w:rsid w:val="00F714C9"/>
    <w:rsid w:val="00F72799"/>
    <w:rsid w:val="00F73435"/>
    <w:rsid w:val="00F74A68"/>
    <w:rsid w:val="00F768EF"/>
    <w:rsid w:val="00F76DB7"/>
    <w:rsid w:val="00F814D3"/>
    <w:rsid w:val="00F84B8C"/>
    <w:rsid w:val="00F84F2B"/>
    <w:rsid w:val="00F85693"/>
    <w:rsid w:val="00F942C8"/>
    <w:rsid w:val="00FA74D3"/>
    <w:rsid w:val="00FB16BF"/>
    <w:rsid w:val="00FB364B"/>
    <w:rsid w:val="00FB39FD"/>
    <w:rsid w:val="00FB506F"/>
    <w:rsid w:val="00FC721A"/>
    <w:rsid w:val="00FD6BBB"/>
    <w:rsid w:val="00FD7158"/>
    <w:rsid w:val="00FE37F4"/>
    <w:rsid w:val="00FE4A1D"/>
    <w:rsid w:val="00FE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663A"/>
  <w15:docId w15:val="{984510B4-ECDF-4C52-B1C8-53B228C0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 w:type="paragraph" w:styleId="ListParagraph">
    <w:name w:val="List Paragraph"/>
    <w:basedOn w:val="Normal"/>
    <w:uiPriority w:val="34"/>
    <w:qFormat/>
    <w:rsid w:val="00056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Kinley</dc:creator>
  <cp:lastModifiedBy>Linda Austin</cp:lastModifiedBy>
  <cp:revision>9</cp:revision>
  <dcterms:created xsi:type="dcterms:W3CDTF">2018-04-11T14:08:00Z</dcterms:created>
  <dcterms:modified xsi:type="dcterms:W3CDTF">2018-04-24T17:26:00Z</dcterms:modified>
</cp:coreProperties>
</file>