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0E164" w14:textId="77777777" w:rsidR="00586F37" w:rsidRDefault="00D51679" w:rsidP="00D51679">
      <w:pPr>
        <w:ind w:left="-90" w:right="-90"/>
        <w:jc w:val="center"/>
      </w:pPr>
      <w:r>
        <w:rPr>
          <w:rFonts w:ascii="Times New Roman" w:hAnsi="Times New Roman"/>
          <w:b/>
          <w:noProof/>
          <w:color w:val="000000" w:themeColor="text1"/>
          <w:sz w:val="24"/>
          <w:szCs w:val="36"/>
        </w:rPr>
        <w:drawing>
          <wp:anchor distT="0" distB="0" distL="114300" distR="114300" simplePos="0" relativeHeight="251658240" behindDoc="1" locked="0" layoutInCell="1" allowOverlap="1" wp14:anchorId="21FD18C4" wp14:editId="05ABD40D">
            <wp:simplePos x="0" y="0"/>
            <wp:positionH relativeFrom="column">
              <wp:posOffset>3810</wp:posOffset>
            </wp:positionH>
            <wp:positionV relativeFrom="paragraph">
              <wp:posOffset>0</wp:posOffset>
            </wp:positionV>
            <wp:extent cx="6859270" cy="1381125"/>
            <wp:effectExtent l="0" t="0" r="0" b="9525"/>
            <wp:wrapTight wrapText="bothSides">
              <wp:wrapPolygon edited="0">
                <wp:start x="0" y="0"/>
                <wp:lineTo x="0" y="21451"/>
                <wp:lineTo x="21536" y="21451"/>
                <wp:lineTo x="215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ra Branson\AppData\Local\Microsoft\Windows\INetCache\Content.Word\SGCC_WbBnr720x145_3-01.jp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6859270" cy="1381125"/>
                    </a:xfrm>
                    <a:prstGeom prst="rect">
                      <a:avLst/>
                    </a:prstGeom>
                    <a:noFill/>
                    <a:ln>
                      <a:noFill/>
                    </a:ln>
                  </pic:spPr>
                </pic:pic>
              </a:graphicData>
            </a:graphic>
            <wp14:sizeRelH relativeFrom="margin">
              <wp14:pctWidth>0</wp14:pctWidth>
            </wp14:sizeRelH>
          </wp:anchor>
        </w:drawing>
      </w:r>
    </w:p>
    <w:tbl>
      <w:tblPr>
        <w:tblStyle w:val="TableGrid"/>
        <w:tblW w:w="5000" w:type="pct"/>
        <w:tblLook w:val="04A0" w:firstRow="1" w:lastRow="0" w:firstColumn="1" w:lastColumn="0" w:noHBand="0" w:noVBand="1"/>
      </w:tblPr>
      <w:tblGrid>
        <w:gridCol w:w="4698"/>
        <w:gridCol w:w="6092"/>
      </w:tblGrid>
      <w:tr w:rsidR="00586F37" w:rsidRPr="00586F37" w14:paraId="1E963B5E" w14:textId="77777777" w:rsidTr="00D51679">
        <w:tc>
          <w:tcPr>
            <w:tcW w:w="5000" w:type="pct"/>
            <w:gridSpan w:val="2"/>
            <w:shd w:val="clear" w:color="auto" w:fill="auto"/>
          </w:tcPr>
          <w:p w14:paraId="6D638946" w14:textId="77777777" w:rsidR="0031714D" w:rsidRPr="00586F37" w:rsidRDefault="00737E79" w:rsidP="0031714D">
            <w:pPr>
              <w:jc w:val="center"/>
              <w:outlineLvl w:val="0"/>
              <w:rPr>
                <w:rFonts w:ascii="BalloonEFExtraBold" w:hAnsi="BalloonEFExtraBold"/>
                <w:b/>
                <w:sz w:val="28"/>
                <w:szCs w:val="36"/>
              </w:rPr>
            </w:pPr>
            <w:r w:rsidRPr="00586F37">
              <w:rPr>
                <w:rFonts w:ascii="Times New Roman" w:hAnsi="Times New Roman"/>
                <w:b/>
                <w:sz w:val="36"/>
                <w:szCs w:val="36"/>
              </w:rPr>
              <w:t>Recorder For</w:t>
            </w:r>
            <w:r w:rsidR="0031714D" w:rsidRPr="00586F37">
              <w:rPr>
                <w:rFonts w:ascii="Times New Roman" w:hAnsi="Times New Roman"/>
                <w:b/>
                <w:sz w:val="36"/>
                <w:szCs w:val="36"/>
              </w:rPr>
              <w:t>m</w:t>
            </w:r>
          </w:p>
        </w:tc>
      </w:tr>
      <w:tr w:rsidR="0031714D" w14:paraId="6136186A" w14:textId="77777777" w:rsidTr="00D51679">
        <w:tc>
          <w:tcPr>
            <w:tcW w:w="5000" w:type="pct"/>
            <w:gridSpan w:val="2"/>
            <w:shd w:val="clear" w:color="auto" w:fill="auto"/>
          </w:tcPr>
          <w:p w14:paraId="04703F39" w14:textId="2792070D" w:rsidR="0031714D" w:rsidRPr="00C32117" w:rsidRDefault="00FC721A" w:rsidP="008D3641">
            <w:pPr>
              <w:jc w:val="center"/>
              <w:outlineLvl w:val="0"/>
              <w:rPr>
                <w:rFonts w:ascii="Times New Roman" w:hAnsi="Times New Roman"/>
                <w:b/>
                <w:color w:val="000000" w:themeColor="text1"/>
                <w:sz w:val="24"/>
                <w:szCs w:val="36"/>
              </w:rPr>
            </w:pPr>
            <w:r>
              <w:rPr>
                <w:rFonts w:ascii="Times New Roman" w:hAnsi="Times New Roman"/>
                <w:b/>
                <w:color w:val="000000" w:themeColor="text1"/>
                <w:sz w:val="24"/>
                <w:szCs w:val="36"/>
              </w:rPr>
              <w:t xml:space="preserve">Onsite Contact </w:t>
            </w:r>
            <w:r w:rsidR="00493E00">
              <w:rPr>
                <w:rFonts w:ascii="Times New Roman" w:hAnsi="Times New Roman"/>
                <w:b/>
                <w:color w:val="000000" w:themeColor="text1"/>
                <w:sz w:val="24"/>
                <w:szCs w:val="36"/>
              </w:rPr>
              <w:t>Tami Snow 918.388.7428</w:t>
            </w:r>
          </w:p>
        </w:tc>
      </w:tr>
      <w:tr w:rsidR="00737E79" w14:paraId="1204F1CC" w14:textId="77777777" w:rsidTr="00D51679">
        <w:tc>
          <w:tcPr>
            <w:tcW w:w="2177" w:type="pct"/>
          </w:tcPr>
          <w:p w14:paraId="735388E0" w14:textId="7771370E" w:rsidR="00737E79" w:rsidRDefault="00737E79" w:rsidP="0072275A">
            <w:pPr>
              <w:spacing w:before="120" w:after="120"/>
            </w:pPr>
            <w:r>
              <w:t>Recorder:</w:t>
            </w:r>
            <w:r w:rsidR="000F17E1">
              <w:t xml:space="preserve"> </w:t>
            </w:r>
            <w:r w:rsidR="00C32E1D">
              <w:t>Michaela Stroup-Madrid</w:t>
            </w:r>
          </w:p>
        </w:tc>
        <w:tc>
          <w:tcPr>
            <w:tcW w:w="2823" w:type="pct"/>
          </w:tcPr>
          <w:p w14:paraId="66B6E891" w14:textId="1F616FA0" w:rsidR="00737E79" w:rsidRDefault="00D51679" w:rsidP="000F17E1">
            <w:pPr>
              <w:spacing w:before="120" w:after="120"/>
            </w:pPr>
            <w:r>
              <w:t>Date:</w:t>
            </w:r>
            <w:r w:rsidR="00C32E1D">
              <w:t xml:space="preserve"> 4/25/18</w:t>
            </w:r>
          </w:p>
        </w:tc>
      </w:tr>
      <w:tr w:rsidR="00737E79" w14:paraId="030C9D78" w14:textId="77777777" w:rsidTr="00D51679">
        <w:tc>
          <w:tcPr>
            <w:tcW w:w="5000" w:type="pct"/>
            <w:gridSpan w:val="2"/>
          </w:tcPr>
          <w:p w14:paraId="62BCE0E5" w14:textId="39E63E0F" w:rsidR="00737E79" w:rsidRDefault="00737E79" w:rsidP="0072275A">
            <w:pPr>
              <w:spacing w:before="120" w:after="120"/>
            </w:pPr>
            <w:r>
              <w:t>Session Title:</w:t>
            </w:r>
            <w:r w:rsidR="000F17E1">
              <w:t xml:space="preserve"> </w:t>
            </w:r>
            <w:r w:rsidR="00C32E1D">
              <w:t>Self-Governance Success Stories</w:t>
            </w:r>
          </w:p>
        </w:tc>
      </w:tr>
      <w:tr w:rsidR="00737E79" w14:paraId="7E9FF045" w14:textId="77777777" w:rsidTr="00D51679">
        <w:tc>
          <w:tcPr>
            <w:tcW w:w="5000" w:type="pct"/>
            <w:gridSpan w:val="2"/>
          </w:tcPr>
          <w:p w14:paraId="5FB7387C" w14:textId="77777777" w:rsidR="00C32E1D" w:rsidRDefault="00737E79" w:rsidP="00C32E1D">
            <w:r>
              <w:t>Panelists:</w:t>
            </w:r>
            <w:r w:rsidR="000F17E1">
              <w:t xml:space="preserve"> </w:t>
            </w:r>
          </w:p>
          <w:p w14:paraId="6B028049" w14:textId="1459958D" w:rsidR="00C32E1D" w:rsidRDefault="00C32E1D" w:rsidP="00C32E1D">
            <w:pPr>
              <w:pStyle w:val="ListParagraph"/>
              <w:numPr>
                <w:ilvl w:val="0"/>
                <w:numId w:val="1"/>
              </w:numPr>
            </w:pPr>
            <w:r>
              <w:t>Jeri Loretto, Grants and Contracts, Jemez Pueblo</w:t>
            </w:r>
          </w:p>
          <w:p w14:paraId="5A005765" w14:textId="3C876352" w:rsidR="00C32E1D" w:rsidRDefault="00C32E1D" w:rsidP="00C32E1D">
            <w:pPr>
              <w:pStyle w:val="ListParagraph"/>
              <w:numPr>
                <w:ilvl w:val="0"/>
                <w:numId w:val="1"/>
              </w:numPr>
            </w:pPr>
            <w:r>
              <w:t>Kar</w:t>
            </w:r>
            <w:r>
              <w:t>a</w:t>
            </w:r>
            <w:r>
              <w:t xml:space="preserve"> </w:t>
            </w:r>
            <w:r w:rsidR="00252532">
              <w:t>H</w:t>
            </w:r>
            <w:r>
              <w:t>orton-</w:t>
            </w:r>
            <w:r>
              <w:t xml:space="preserve">Wright, </w:t>
            </w:r>
            <w:r>
              <w:t>Administrator</w:t>
            </w:r>
            <w:r>
              <w:t xml:space="preserve">, Director of Tribal Services, Port Gamble </w:t>
            </w:r>
            <w:r>
              <w:t>S’Klallam Tribe</w:t>
            </w:r>
          </w:p>
          <w:p w14:paraId="5A25A6AA" w14:textId="54C9A518" w:rsidR="00C32E1D" w:rsidRDefault="00C32E1D" w:rsidP="00C32E1D">
            <w:pPr>
              <w:pStyle w:val="ListParagraph"/>
              <w:numPr>
                <w:ilvl w:val="0"/>
                <w:numId w:val="1"/>
              </w:numPr>
            </w:pPr>
            <w:r>
              <w:t xml:space="preserve">Margret </w:t>
            </w:r>
            <w:proofErr w:type="spellStart"/>
            <w:r>
              <w:t>Zientek</w:t>
            </w:r>
            <w:proofErr w:type="spellEnd"/>
            <w:r>
              <w:t xml:space="preserve">, Assistant Director Workforce and Social Services, Citizen Potawatomi Nation and </w:t>
            </w:r>
            <w:r w:rsidR="00195F10">
              <w:t>C</w:t>
            </w:r>
            <w:r>
              <w:t>o-</w:t>
            </w:r>
            <w:r w:rsidR="00195F10">
              <w:t>C</w:t>
            </w:r>
            <w:r>
              <w:t>ha</w:t>
            </w:r>
            <w:r>
              <w:t>ir</w:t>
            </w:r>
            <w:r>
              <w:t xml:space="preserve"> 477 </w:t>
            </w:r>
            <w:r w:rsidR="00195F10">
              <w:t>T</w:t>
            </w:r>
            <w:r>
              <w:t xml:space="preserve">ribal </w:t>
            </w:r>
            <w:r w:rsidR="00195F10">
              <w:t>W</w:t>
            </w:r>
            <w:r>
              <w:t>orkgroup</w:t>
            </w:r>
          </w:p>
          <w:p w14:paraId="3E37D2D4" w14:textId="25C7DD67" w:rsidR="0072275A" w:rsidRDefault="00C32E1D" w:rsidP="00C32E1D">
            <w:pPr>
              <w:pStyle w:val="ListParagraph"/>
              <w:numPr>
                <w:ilvl w:val="0"/>
                <w:numId w:val="1"/>
              </w:numPr>
            </w:pPr>
            <w:r>
              <w:t>Steve Osborne, Partner, Hobbs Straus Dean and Walker LLP</w:t>
            </w:r>
          </w:p>
        </w:tc>
      </w:tr>
      <w:tr w:rsidR="00737E79" w14:paraId="2681FF12" w14:textId="77777777" w:rsidTr="00D51679">
        <w:tc>
          <w:tcPr>
            <w:tcW w:w="5000" w:type="pct"/>
            <w:gridSpan w:val="2"/>
          </w:tcPr>
          <w:p w14:paraId="58D17E6D" w14:textId="77777777" w:rsidR="00691A8A" w:rsidRDefault="0031714D" w:rsidP="0072275A">
            <w:r>
              <w:t>Summary of Issue</w:t>
            </w:r>
            <w:r w:rsidR="0072275A">
              <w:t>s and Items Discussed</w:t>
            </w:r>
            <w:r>
              <w:t xml:space="preserve">: </w:t>
            </w:r>
          </w:p>
          <w:p w14:paraId="77EC0312" w14:textId="77777777" w:rsidR="0031714D" w:rsidRDefault="0031714D"/>
          <w:p w14:paraId="343EC3D3" w14:textId="65DDBE53" w:rsidR="0031714D" w:rsidRDefault="00C32E1D" w:rsidP="00C32E1D">
            <w:pPr>
              <w:pStyle w:val="ListParagraph"/>
              <w:numPr>
                <w:ilvl w:val="0"/>
                <w:numId w:val="2"/>
              </w:numPr>
            </w:pPr>
            <w:r>
              <w:t>Margret</w:t>
            </w:r>
          </w:p>
          <w:p w14:paraId="06DB6F04" w14:textId="0D3C7FEB" w:rsidR="00511DD6" w:rsidRDefault="00511DD6" w:rsidP="00511DD6">
            <w:pPr>
              <w:pStyle w:val="ListParagraph"/>
              <w:numPr>
                <w:ilvl w:val="1"/>
                <w:numId w:val="2"/>
              </w:numPr>
            </w:pPr>
            <w:r>
              <w:t>What is 477?</w:t>
            </w:r>
          </w:p>
          <w:p w14:paraId="44AD33D9" w14:textId="38E1DE51" w:rsidR="00C32E1D" w:rsidRDefault="00511DD6" w:rsidP="00511DD6">
            <w:pPr>
              <w:pStyle w:val="ListParagraph"/>
              <w:numPr>
                <w:ilvl w:val="2"/>
                <w:numId w:val="2"/>
              </w:numPr>
            </w:pPr>
            <w:r>
              <w:t xml:space="preserve">64 tribes that are currently 477 tribes </w:t>
            </w:r>
          </w:p>
          <w:p w14:paraId="4C1A8A9D" w14:textId="17B1055C" w:rsidR="00511DD6" w:rsidRDefault="00511DD6" w:rsidP="00511DD6">
            <w:pPr>
              <w:pStyle w:val="ListParagraph"/>
              <w:numPr>
                <w:ilvl w:val="2"/>
                <w:numId w:val="2"/>
              </w:numPr>
            </w:pPr>
            <w:r>
              <w:t xml:space="preserve">Started in 1993 </w:t>
            </w:r>
          </w:p>
          <w:p w14:paraId="7D2750AB" w14:textId="0E66387B" w:rsidR="00511DD6" w:rsidRDefault="00511DD6" w:rsidP="00511DD6">
            <w:pPr>
              <w:pStyle w:val="ListParagraph"/>
              <w:numPr>
                <w:ilvl w:val="2"/>
                <w:numId w:val="2"/>
              </w:numPr>
            </w:pPr>
            <w:r>
              <w:t>Have to take funds from at least two different funding streams and develop a plan that works for your tribe</w:t>
            </w:r>
          </w:p>
          <w:p w14:paraId="69B636EE" w14:textId="1F5CE32C" w:rsidR="00511DD6" w:rsidRDefault="00511DD6" w:rsidP="00511DD6">
            <w:pPr>
              <w:pStyle w:val="ListParagraph"/>
              <w:numPr>
                <w:ilvl w:val="3"/>
                <w:numId w:val="2"/>
              </w:numPr>
            </w:pPr>
            <w:r>
              <w:t>Every tribe’s plan and combination of services is unique</w:t>
            </w:r>
          </w:p>
          <w:p w14:paraId="4983C95A" w14:textId="0382474A" w:rsidR="00E02432" w:rsidRDefault="00E02432" w:rsidP="00E02432">
            <w:pPr>
              <w:pStyle w:val="ListParagraph"/>
              <w:numPr>
                <w:ilvl w:val="2"/>
                <w:numId w:val="2"/>
              </w:numPr>
            </w:pPr>
            <w:r>
              <w:t>You can take any of the funds that are in the tribes 477 account and apply directly to economic development</w:t>
            </w:r>
          </w:p>
          <w:p w14:paraId="37F59908" w14:textId="08064D84" w:rsidR="00E02432" w:rsidRDefault="00E02432" w:rsidP="00E02432">
            <w:pPr>
              <w:pStyle w:val="ListParagraph"/>
              <w:numPr>
                <w:ilvl w:val="3"/>
                <w:numId w:val="2"/>
              </w:numPr>
            </w:pPr>
            <w:r>
              <w:t>Citizen Potawatomi first used their money to make a tribal grocery store</w:t>
            </w:r>
          </w:p>
          <w:p w14:paraId="74D87B9E" w14:textId="314B59D2" w:rsidR="00E02432" w:rsidRDefault="00E27596" w:rsidP="00E02432">
            <w:pPr>
              <w:pStyle w:val="ListParagraph"/>
              <w:numPr>
                <w:ilvl w:val="3"/>
                <w:numId w:val="2"/>
              </w:numPr>
            </w:pPr>
            <w:r>
              <w:t>Next,</w:t>
            </w:r>
            <w:r w:rsidR="00E02432">
              <w:t xml:space="preserve"> they made a revolving loan pool—eventually turned it over to the local CDC to manage</w:t>
            </w:r>
          </w:p>
          <w:p w14:paraId="1BEE98DD" w14:textId="6E33F539" w:rsidR="00511DD6" w:rsidRDefault="00511DD6" w:rsidP="00511DD6">
            <w:pPr>
              <w:pStyle w:val="ListParagraph"/>
              <w:numPr>
                <w:ilvl w:val="1"/>
                <w:numId w:val="2"/>
              </w:numPr>
            </w:pPr>
            <w:r>
              <w:t>What are the new 477 amendments?</w:t>
            </w:r>
          </w:p>
          <w:p w14:paraId="5A537D39" w14:textId="1EF4A59E" w:rsidR="00E02432" w:rsidRDefault="00E02432" w:rsidP="00E02432">
            <w:pPr>
              <w:pStyle w:val="ListParagraph"/>
              <w:numPr>
                <w:ilvl w:val="2"/>
                <w:numId w:val="2"/>
              </w:numPr>
            </w:pPr>
            <w:r>
              <w:t>December 18 2017</w:t>
            </w:r>
          </w:p>
          <w:p w14:paraId="2A826FEC" w14:textId="0E065759" w:rsidR="00E02432" w:rsidRDefault="00E02432" w:rsidP="00E02432">
            <w:pPr>
              <w:pStyle w:val="ListParagraph"/>
              <w:numPr>
                <w:ilvl w:val="2"/>
                <w:numId w:val="2"/>
              </w:numPr>
            </w:pPr>
            <w:r>
              <w:t>Fixed problems in the demonstration project</w:t>
            </w:r>
          </w:p>
          <w:p w14:paraId="2451B7EB" w14:textId="1ACAA219" w:rsidR="00E02432" w:rsidRDefault="00E02432" w:rsidP="00E02432">
            <w:pPr>
              <w:pStyle w:val="ListParagraph"/>
              <w:numPr>
                <w:ilvl w:val="2"/>
                <w:numId w:val="2"/>
              </w:numPr>
            </w:pPr>
            <w:r>
              <w:t>Reduced the number of reports</w:t>
            </w:r>
            <w:r w:rsidR="00E27596">
              <w:t>—formerly could require upwards of 22 reports, now there are just 3</w:t>
            </w:r>
          </w:p>
          <w:p w14:paraId="712DFC75" w14:textId="49DE64ED" w:rsidR="00E02432" w:rsidRDefault="00E02432" w:rsidP="00E02432">
            <w:pPr>
              <w:pStyle w:val="ListParagraph"/>
              <w:numPr>
                <w:ilvl w:val="2"/>
                <w:numId w:val="2"/>
              </w:numPr>
            </w:pPr>
            <w:r>
              <w:t>The whole purpose is better service to clients</w:t>
            </w:r>
          </w:p>
          <w:p w14:paraId="59B05433" w14:textId="57D4F998" w:rsidR="00E02432" w:rsidRDefault="00E02432" w:rsidP="00E02432">
            <w:pPr>
              <w:pStyle w:val="ListParagraph"/>
              <w:numPr>
                <w:ilvl w:val="3"/>
                <w:numId w:val="2"/>
              </w:numPr>
            </w:pPr>
            <w:r>
              <w:t>Steps toward sovereignty</w:t>
            </w:r>
          </w:p>
          <w:p w14:paraId="20781EE7" w14:textId="77DF1BFC" w:rsidR="00E27596" w:rsidRDefault="00E27596" w:rsidP="00E27596">
            <w:pPr>
              <w:pStyle w:val="ListParagraph"/>
              <w:numPr>
                <w:ilvl w:val="2"/>
                <w:numId w:val="2"/>
              </w:numPr>
            </w:pPr>
            <w:r>
              <w:t xml:space="preserve">Agencies must pay full IDC costs </w:t>
            </w:r>
            <w:r w:rsidR="002C5E72">
              <w:t>(IDC is the cost of running the program)</w:t>
            </w:r>
          </w:p>
          <w:p w14:paraId="6842FC4E" w14:textId="6AB9473C" w:rsidR="00E27596" w:rsidRDefault="00E27596" w:rsidP="00E27596">
            <w:pPr>
              <w:pStyle w:val="ListParagraph"/>
              <w:numPr>
                <w:ilvl w:val="2"/>
                <w:numId w:val="2"/>
              </w:numPr>
            </w:pPr>
            <w:r>
              <w:t xml:space="preserve">Expanded the number of agencies that can be in 477 programs to 12 </w:t>
            </w:r>
          </w:p>
          <w:p w14:paraId="60EEC4CD" w14:textId="26380E26" w:rsidR="00E27596" w:rsidRDefault="00E27596" w:rsidP="00E27596">
            <w:pPr>
              <w:pStyle w:val="ListParagraph"/>
              <w:numPr>
                <w:ilvl w:val="2"/>
                <w:numId w:val="2"/>
              </w:numPr>
            </w:pPr>
            <w:r>
              <w:t>Timelines that give specific number of days agencies have to approve</w:t>
            </w:r>
          </w:p>
          <w:p w14:paraId="4F83852C" w14:textId="127F2CC7" w:rsidR="00E27596" w:rsidRDefault="00E27596" w:rsidP="00E27596">
            <w:pPr>
              <w:pStyle w:val="ListParagraph"/>
              <w:numPr>
                <w:ilvl w:val="3"/>
                <w:numId w:val="2"/>
              </w:numPr>
            </w:pPr>
            <w:r>
              <w:t>If they fail to act in time, it is automatically approved</w:t>
            </w:r>
          </w:p>
          <w:p w14:paraId="33E58BCF" w14:textId="26DFC4C2" w:rsidR="00E27596" w:rsidRDefault="00E27596" w:rsidP="00E27596">
            <w:pPr>
              <w:pStyle w:val="ListParagraph"/>
              <w:numPr>
                <w:ilvl w:val="3"/>
                <w:numId w:val="2"/>
              </w:numPr>
            </w:pPr>
            <w:r>
              <w:t xml:space="preserve">Gave a repeal process to denials </w:t>
            </w:r>
          </w:p>
          <w:p w14:paraId="718C0CAF" w14:textId="282557A3" w:rsidR="00E27596" w:rsidRDefault="00E27596" w:rsidP="00E27596">
            <w:pPr>
              <w:pStyle w:val="ListParagraph"/>
              <w:ind w:left="2880"/>
            </w:pPr>
          </w:p>
          <w:p w14:paraId="3B9FE0DB" w14:textId="77777777" w:rsidR="002C5E72" w:rsidRDefault="002C5E72" w:rsidP="00E27596">
            <w:pPr>
              <w:pStyle w:val="ListParagraph"/>
              <w:ind w:left="2880"/>
            </w:pPr>
          </w:p>
          <w:p w14:paraId="7C6379B7" w14:textId="77777777" w:rsidR="00195F10" w:rsidRDefault="00195F10" w:rsidP="00195F10">
            <w:pPr>
              <w:pStyle w:val="ListParagraph"/>
            </w:pPr>
          </w:p>
          <w:p w14:paraId="0B21B314" w14:textId="10893FDB" w:rsidR="00E27596" w:rsidRDefault="00E27596" w:rsidP="00E27596">
            <w:pPr>
              <w:pStyle w:val="ListParagraph"/>
              <w:numPr>
                <w:ilvl w:val="0"/>
                <w:numId w:val="2"/>
              </w:numPr>
            </w:pPr>
            <w:r>
              <w:t>Kara</w:t>
            </w:r>
            <w:r w:rsidR="00397015">
              <w:t>—</w:t>
            </w:r>
            <w:r>
              <w:t>So</w:t>
            </w:r>
            <w:r w:rsidR="00397015">
              <w:t>c</w:t>
            </w:r>
            <w:r>
              <w:t>ial Services at the Port Gamble S’Klallam Tribe</w:t>
            </w:r>
          </w:p>
          <w:p w14:paraId="5C3323FA" w14:textId="537F50C8" w:rsidR="00E27596" w:rsidRDefault="00E27596" w:rsidP="00E27596">
            <w:pPr>
              <w:pStyle w:val="ListParagraph"/>
              <w:numPr>
                <w:ilvl w:val="1"/>
                <w:numId w:val="2"/>
              </w:numPr>
            </w:pPr>
            <w:r>
              <w:t xml:space="preserve">Has been running since 1980s </w:t>
            </w:r>
          </w:p>
          <w:p w14:paraId="0C34A7D7" w14:textId="296F5672" w:rsidR="00E27596" w:rsidRDefault="00E27596" w:rsidP="00E27596">
            <w:pPr>
              <w:pStyle w:val="ListParagraph"/>
              <w:numPr>
                <w:ilvl w:val="1"/>
                <w:numId w:val="2"/>
              </w:numPr>
            </w:pPr>
            <w:r>
              <w:t>First tribe in the nation to run a federally approved Title IV-E foster care starting in 2012</w:t>
            </w:r>
          </w:p>
          <w:p w14:paraId="60CF2AB7" w14:textId="3FDFE826" w:rsidR="00E27596" w:rsidRDefault="00E27596" w:rsidP="00397015">
            <w:pPr>
              <w:pStyle w:val="ListParagraph"/>
              <w:numPr>
                <w:ilvl w:val="1"/>
                <w:numId w:val="2"/>
              </w:numPr>
            </w:pPr>
            <w:r>
              <w:t>Two childcare intervention version of positive Indian parenting (NICWA) and family group decision making which is a form of family engagement</w:t>
            </w:r>
          </w:p>
          <w:p w14:paraId="26B450B1" w14:textId="4DF7695E" w:rsidR="00397015" w:rsidRDefault="00397015" w:rsidP="00397015">
            <w:pPr>
              <w:pStyle w:val="ListParagraph"/>
              <w:numPr>
                <w:ilvl w:val="1"/>
                <w:numId w:val="2"/>
              </w:numPr>
            </w:pPr>
            <w:r>
              <w:t>Lets them use their cultural definition of extended family</w:t>
            </w:r>
          </w:p>
          <w:p w14:paraId="3EEF6EBC" w14:textId="7431480E" w:rsidR="00397015" w:rsidRDefault="00397015" w:rsidP="00397015">
            <w:pPr>
              <w:pStyle w:val="ListParagraph"/>
              <w:numPr>
                <w:ilvl w:val="1"/>
                <w:numId w:val="2"/>
              </w:numPr>
            </w:pPr>
            <w:r>
              <w:t>Children and families Assistance Programs</w:t>
            </w:r>
          </w:p>
          <w:p w14:paraId="143088CF" w14:textId="2BA9AB00" w:rsidR="00397015" w:rsidRDefault="00397015" w:rsidP="00397015">
            <w:pPr>
              <w:pStyle w:val="ListParagraph"/>
              <w:numPr>
                <w:ilvl w:val="2"/>
                <w:numId w:val="2"/>
              </w:numPr>
            </w:pPr>
            <w:r>
              <w:t>Part of tribal TANF</w:t>
            </w:r>
          </w:p>
          <w:p w14:paraId="2711E2A9" w14:textId="4821FB25" w:rsidR="00397015" w:rsidRDefault="00397015" w:rsidP="00397015">
            <w:pPr>
              <w:pStyle w:val="ListParagraph"/>
              <w:numPr>
                <w:ilvl w:val="2"/>
                <w:numId w:val="2"/>
              </w:numPr>
            </w:pPr>
            <w:r>
              <w:t>The biggest program in their 477 program</w:t>
            </w:r>
          </w:p>
          <w:p w14:paraId="5AAC9BFF" w14:textId="592A9B00" w:rsidR="00397015" w:rsidRDefault="00397015" w:rsidP="00397015">
            <w:pPr>
              <w:pStyle w:val="ListParagraph"/>
              <w:numPr>
                <w:ilvl w:val="2"/>
                <w:numId w:val="2"/>
              </w:numPr>
            </w:pPr>
            <w:r>
              <w:t xml:space="preserve">Food bank, SNAP benefits, clothing bank, </w:t>
            </w:r>
          </w:p>
          <w:p w14:paraId="52893B32" w14:textId="214C1DA4" w:rsidR="00397015" w:rsidRDefault="00397015" w:rsidP="00397015">
            <w:pPr>
              <w:pStyle w:val="ListParagraph"/>
              <w:numPr>
                <w:ilvl w:val="1"/>
                <w:numId w:val="2"/>
              </w:numPr>
            </w:pPr>
            <w:r>
              <w:t>Child support program</w:t>
            </w:r>
          </w:p>
          <w:p w14:paraId="0019DA66" w14:textId="4002036B" w:rsidR="00397015" w:rsidRDefault="00397015" w:rsidP="00397015">
            <w:pPr>
              <w:pStyle w:val="ListParagraph"/>
              <w:numPr>
                <w:ilvl w:val="2"/>
                <w:numId w:val="2"/>
              </w:numPr>
            </w:pPr>
            <w:r>
              <w:t>Started in 2002</w:t>
            </w:r>
          </w:p>
          <w:p w14:paraId="2849FD4F" w14:textId="33EB1F92" w:rsidR="00397015" w:rsidRDefault="00397015" w:rsidP="00397015">
            <w:pPr>
              <w:pStyle w:val="ListParagraph"/>
              <w:numPr>
                <w:ilvl w:val="2"/>
                <w:numId w:val="2"/>
              </w:numPr>
            </w:pPr>
            <w:r>
              <w:t>Work with families to strengthen relationship of the family</w:t>
            </w:r>
          </w:p>
          <w:p w14:paraId="5E27043F" w14:textId="3377C20B" w:rsidR="00397015" w:rsidRDefault="00397015" w:rsidP="00397015">
            <w:pPr>
              <w:pStyle w:val="ListParagraph"/>
              <w:numPr>
                <w:ilvl w:val="2"/>
                <w:numId w:val="2"/>
              </w:numPr>
            </w:pPr>
            <w:r>
              <w:t>Kinship navigator funding can buy kids glasses, etc. Lots of flexibility in spending</w:t>
            </w:r>
          </w:p>
          <w:p w14:paraId="1180669C" w14:textId="77777777" w:rsidR="00397015" w:rsidRDefault="00397015" w:rsidP="00397015">
            <w:pPr>
              <w:pStyle w:val="ListParagraph"/>
              <w:numPr>
                <w:ilvl w:val="1"/>
                <w:numId w:val="2"/>
              </w:numPr>
            </w:pPr>
            <w:r>
              <w:t xml:space="preserve">Health clinic and behavioral health </w:t>
            </w:r>
          </w:p>
          <w:p w14:paraId="7407ABB3" w14:textId="77777777" w:rsidR="00397015" w:rsidRDefault="00397015" w:rsidP="00397015">
            <w:pPr>
              <w:pStyle w:val="ListParagraph"/>
              <w:numPr>
                <w:ilvl w:val="2"/>
                <w:numId w:val="2"/>
              </w:numPr>
            </w:pPr>
            <w:r>
              <w:t xml:space="preserve">medical dental </w:t>
            </w:r>
          </w:p>
          <w:p w14:paraId="72D51E38" w14:textId="77777777" w:rsidR="00397015" w:rsidRDefault="00397015" w:rsidP="00397015">
            <w:pPr>
              <w:pStyle w:val="ListParagraph"/>
              <w:numPr>
                <w:ilvl w:val="2"/>
                <w:numId w:val="2"/>
              </w:numPr>
            </w:pPr>
            <w:r>
              <w:t xml:space="preserve">mental health </w:t>
            </w:r>
          </w:p>
          <w:p w14:paraId="145BE60F" w14:textId="3362DC6E" w:rsidR="00397015" w:rsidRDefault="00397015" w:rsidP="00397015">
            <w:pPr>
              <w:pStyle w:val="ListParagraph"/>
              <w:numPr>
                <w:ilvl w:val="2"/>
                <w:numId w:val="2"/>
              </w:numPr>
            </w:pPr>
            <w:r>
              <w:t xml:space="preserve">chemical dependency </w:t>
            </w:r>
          </w:p>
          <w:p w14:paraId="72AF3ECD" w14:textId="5581F8BB" w:rsidR="00397015" w:rsidRDefault="00397015" w:rsidP="00397015">
            <w:pPr>
              <w:pStyle w:val="ListParagraph"/>
              <w:numPr>
                <w:ilvl w:val="0"/>
                <w:numId w:val="2"/>
              </w:numPr>
            </w:pPr>
            <w:r>
              <w:t>Steve— New Amendments to 477</w:t>
            </w:r>
          </w:p>
          <w:p w14:paraId="02562D54" w14:textId="77777777" w:rsidR="006B60C7" w:rsidRDefault="006B60C7" w:rsidP="00397015">
            <w:pPr>
              <w:pStyle w:val="ListParagraph"/>
              <w:numPr>
                <w:ilvl w:val="1"/>
                <w:numId w:val="2"/>
              </w:numPr>
            </w:pPr>
            <w:r>
              <w:t>PowerPoint is a step by step roadmap for how to get in to 477 and the possibilities with the new law</w:t>
            </w:r>
          </w:p>
          <w:p w14:paraId="398B5E42" w14:textId="17DF6D15" w:rsidR="006B60C7" w:rsidRDefault="006B60C7" w:rsidP="00397015">
            <w:pPr>
              <w:pStyle w:val="ListParagraph"/>
              <w:numPr>
                <w:ilvl w:val="1"/>
                <w:numId w:val="2"/>
              </w:numPr>
            </w:pPr>
            <w:r>
              <w:t xml:space="preserve">New agencies eligible for inclusion: interior, HHS, education, labor, justice, agriculture, commerce, energy, homeland security, HUD, transportation, and </w:t>
            </w:r>
            <w:proofErr w:type="gramStart"/>
            <w:r>
              <w:t>veterans</w:t>
            </w:r>
            <w:proofErr w:type="gramEnd"/>
            <w:r>
              <w:t xml:space="preserve"> affairs</w:t>
            </w:r>
          </w:p>
          <w:p w14:paraId="762FF6A5" w14:textId="64963ECD" w:rsidR="00397015" w:rsidRDefault="006B60C7" w:rsidP="006B60C7">
            <w:pPr>
              <w:pStyle w:val="ListParagraph"/>
              <w:numPr>
                <w:ilvl w:val="1"/>
                <w:numId w:val="2"/>
              </w:numPr>
            </w:pPr>
            <w:r>
              <w:t>program must be for the purpose of job training and economic development to qualify for 477</w:t>
            </w:r>
          </w:p>
          <w:p w14:paraId="72F41C48" w14:textId="5686990E" w:rsidR="006B60C7" w:rsidRDefault="006B60C7" w:rsidP="006B60C7">
            <w:pPr>
              <w:pStyle w:val="ListParagraph"/>
              <w:numPr>
                <w:ilvl w:val="1"/>
                <w:numId w:val="2"/>
              </w:numPr>
            </w:pPr>
            <w:r>
              <w:t>Source of funding must be from a tribe, block grant, funds eligible to be received solely or in part of their status as Indians under federal law</w:t>
            </w:r>
          </w:p>
          <w:p w14:paraId="04AA968A" w14:textId="6BE33422" w:rsidR="006B60C7" w:rsidRDefault="006B60C7" w:rsidP="006B60C7">
            <w:pPr>
              <w:pStyle w:val="ListParagraph"/>
              <w:numPr>
                <w:ilvl w:val="1"/>
                <w:numId w:val="2"/>
              </w:numPr>
            </w:pPr>
            <w:r>
              <w:t>Application process</w:t>
            </w:r>
          </w:p>
          <w:p w14:paraId="5CD96F15" w14:textId="7E6DD5B6" w:rsidR="006B60C7" w:rsidRDefault="006B60C7" w:rsidP="006B60C7">
            <w:pPr>
              <w:pStyle w:val="ListParagraph"/>
              <w:numPr>
                <w:ilvl w:val="2"/>
                <w:numId w:val="4"/>
              </w:numPr>
            </w:pPr>
            <w:r>
              <w:t xml:space="preserve">Must have funding from two or more sources (eligible agencies) </w:t>
            </w:r>
          </w:p>
          <w:p w14:paraId="56ACA273" w14:textId="67C9FA95" w:rsidR="006B60C7" w:rsidRDefault="006B60C7" w:rsidP="006B60C7">
            <w:pPr>
              <w:pStyle w:val="ListParagraph"/>
              <w:numPr>
                <w:ilvl w:val="2"/>
                <w:numId w:val="4"/>
              </w:numPr>
            </w:pPr>
            <w:r>
              <w:t>Submit 477 plan to Interior</w:t>
            </w:r>
          </w:p>
          <w:p w14:paraId="4B90E8D6" w14:textId="4A9F024A" w:rsidR="006B60C7" w:rsidRDefault="006B60C7" w:rsidP="006B60C7">
            <w:pPr>
              <w:pStyle w:val="ListParagraph"/>
              <w:numPr>
                <w:ilvl w:val="2"/>
                <w:numId w:val="4"/>
              </w:numPr>
            </w:pPr>
            <w:r>
              <w:t xml:space="preserve">Interior consults with all agencies that are contributing funding </w:t>
            </w:r>
          </w:p>
          <w:p w14:paraId="5127BAC1" w14:textId="134613F9" w:rsidR="006B60C7" w:rsidRDefault="006B60C7" w:rsidP="006B60C7">
            <w:pPr>
              <w:pStyle w:val="ListParagraph"/>
              <w:numPr>
                <w:ilvl w:val="2"/>
                <w:numId w:val="4"/>
              </w:numPr>
            </w:pPr>
            <w:r>
              <w:t>Interior approves or denies plan in 90 days</w:t>
            </w:r>
          </w:p>
          <w:p w14:paraId="0278F401" w14:textId="3CF62CD8" w:rsidR="006B60C7" w:rsidRDefault="006B60C7" w:rsidP="006B60C7">
            <w:pPr>
              <w:pStyle w:val="ListParagraph"/>
              <w:numPr>
                <w:ilvl w:val="3"/>
                <w:numId w:val="2"/>
              </w:numPr>
            </w:pPr>
            <w:r>
              <w:t>Deemed approved if nothing happens in 90 days</w:t>
            </w:r>
          </w:p>
          <w:p w14:paraId="4B231C08" w14:textId="45187BA6" w:rsidR="006B60C7" w:rsidRDefault="006B60C7" w:rsidP="006B60C7">
            <w:pPr>
              <w:pStyle w:val="ListParagraph"/>
              <w:numPr>
                <w:ilvl w:val="3"/>
                <w:numId w:val="2"/>
              </w:numPr>
            </w:pPr>
            <w:r>
              <w:t>Must be approved unless there is an explicit violation of the legislation</w:t>
            </w:r>
          </w:p>
          <w:p w14:paraId="574C6D0A" w14:textId="09A9CBC7" w:rsidR="006B60C7" w:rsidRDefault="006B60C7" w:rsidP="006B60C7">
            <w:pPr>
              <w:pStyle w:val="ListParagraph"/>
              <w:numPr>
                <w:ilvl w:val="3"/>
                <w:numId w:val="2"/>
              </w:numPr>
            </w:pPr>
            <w:r>
              <w:t>Tribes have the opportunity to repeal a denial</w:t>
            </w:r>
          </w:p>
          <w:p w14:paraId="51FB4DAF" w14:textId="40DD5444" w:rsidR="006B60C7" w:rsidRDefault="006B60C7" w:rsidP="006B60C7">
            <w:pPr>
              <w:pStyle w:val="ListParagraph"/>
              <w:numPr>
                <w:ilvl w:val="1"/>
                <w:numId w:val="3"/>
              </w:numPr>
            </w:pPr>
            <w:r>
              <w:t>Once approved, the tribes can take the funds and begin using them as demonstrated in plan</w:t>
            </w:r>
          </w:p>
          <w:p w14:paraId="1A3ED195" w14:textId="1D4F7D35" w:rsidR="006B60C7" w:rsidRDefault="006B60C7" w:rsidP="006B60C7">
            <w:pPr>
              <w:pStyle w:val="ListParagraph"/>
              <w:numPr>
                <w:ilvl w:val="1"/>
                <w:numId w:val="3"/>
              </w:numPr>
            </w:pPr>
            <w:r>
              <w:t xml:space="preserve">Waiver requests to overturn administrative, regulatory, and statutory requirements in order to customize plan to fit community </w:t>
            </w:r>
          </w:p>
          <w:p w14:paraId="0D83117B" w14:textId="72E3356A" w:rsidR="006B60C7" w:rsidRDefault="006B60C7" w:rsidP="006B60C7">
            <w:pPr>
              <w:pStyle w:val="ListParagraph"/>
              <w:numPr>
                <w:ilvl w:val="2"/>
                <w:numId w:val="3"/>
              </w:numPr>
            </w:pPr>
            <w:r>
              <w:t>Again, must be approved unless it is deemed inconsistent with the intent of 477</w:t>
            </w:r>
          </w:p>
          <w:p w14:paraId="118510E8" w14:textId="3660CF6E" w:rsidR="006B60C7" w:rsidRDefault="00B210BB" w:rsidP="00B210BB">
            <w:pPr>
              <w:pStyle w:val="ListParagraph"/>
              <w:numPr>
                <w:ilvl w:val="2"/>
                <w:numId w:val="3"/>
              </w:numPr>
            </w:pPr>
            <w:r>
              <w:t>If two agencies disagree on the waiver, the agencies must go through an interagency dispute resolution process—tribes sit back and watch</w:t>
            </w:r>
          </w:p>
          <w:p w14:paraId="0B61C28D" w14:textId="77777777" w:rsidR="0031714D" w:rsidRDefault="00B210BB" w:rsidP="00B210BB">
            <w:pPr>
              <w:pStyle w:val="ListParagraph"/>
              <w:numPr>
                <w:ilvl w:val="1"/>
                <w:numId w:val="3"/>
              </w:numPr>
            </w:pPr>
            <w:r>
              <w:t>Tribes have full control over how programs are designed and implemented</w:t>
            </w:r>
          </w:p>
          <w:p w14:paraId="57786D8B" w14:textId="77777777" w:rsidR="00B210BB" w:rsidRDefault="00B210BB" w:rsidP="00B210BB">
            <w:pPr>
              <w:pStyle w:val="ListParagraph"/>
              <w:numPr>
                <w:ilvl w:val="1"/>
                <w:numId w:val="3"/>
              </w:numPr>
            </w:pPr>
            <w:r>
              <w:t>MOA to develop implementation plans must be signed by December 18, 2018</w:t>
            </w:r>
          </w:p>
          <w:p w14:paraId="46ACD482" w14:textId="77777777" w:rsidR="00B210BB" w:rsidRDefault="00B210BB" w:rsidP="00B210BB">
            <w:pPr>
              <w:pStyle w:val="ListParagraph"/>
              <w:numPr>
                <w:ilvl w:val="2"/>
                <w:numId w:val="3"/>
              </w:numPr>
            </w:pPr>
            <w:r>
              <w:t xml:space="preserve">Sounds like it will be done much sooner than the deadline </w:t>
            </w:r>
          </w:p>
          <w:p w14:paraId="0619CE7E" w14:textId="77777777" w:rsidR="00195F10" w:rsidRDefault="00195F10" w:rsidP="00B210BB">
            <w:pPr>
              <w:pStyle w:val="ListParagraph"/>
              <w:numPr>
                <w:ilvl w:val="1"/>
                <w:numId w:val="3"/>
              </w:numPr>
            </w:pPr>
            <w:r>
              <w:t>You don’t get more money going 477, but you use it more efficiently</w:t>
            </w:r>
          </w:p>
          <w:p w14:paraId="003225C2" w14:textId="27135F0A" w:rsidR="00B210BB" w:rsidRDefault="00195F10" w:rsidP="00B210BB">
            <w:pPr>
              <w:pStyle w:val="ListParagraph"/>
              <w:numPr>
                <w:ilvl w:val="1"/>
                <w:numId w:val="3"/>
              </w:numPr>
            </w:pPr>
            <w:r>
              <w:t xml:space="preserve">Can recover 100% of IDC </w:t>
            </w:r>
          </w:p>
          <w:p w14:paraId="062DCF9A" w14:textId="1873519E" w:rsidR="00195F10" w:rsidRDefault="00195F10" w:rsidP="00B210BB">
            <w:pPr>
              <w:pStyle w:val="ListParagraph"/>
              <w:numPr>
                <w:ilvl w:val="1"/>
                <w:numId w:val="3"/>
              </w:numPr>
            </w:pPr>
            <w:r>
              <w:t>There is a lot of potential and innovation with the expansion of eligible agencies, but be prepared for some tension from the agencies</w:t>
            </w:r>
          </w:p>
        </w:tc>
      </w:tr>
      <w:tr w:rsidR="0031714D" w14:paraId="79657736" w14:textId="77777777" w:rsidTr="00D51679">
        <w:tc>
          <w:tcPr>
            <w:tcW w:w="5000" w:type="pct"/>
            <w:gridSpan w:val="2"/>
          </w:tcPr>
          <w:p w14:paraId="6BE0A57E" w14:textId="77777777" w:rsidR="00195F10" w:rsidRDefault="00195F10"/>
          <w:p w14:paraId="5596DE39" w14:textId="77777777" w:rsidR="00195F10" w:rsidRDefault="00195F10"/>
          <w:p w14:paraId="5946E9EE" w14:textId="77777777" w:rsidR="00195F10" w:rsidRDefault="00195F10"/>
          <w:p w14:paraId="2F658CE5" w14:textId="17D81FC1" w:rsidR="0072275A" w:rsidRDefault="0072275A">
            <w:r>
              <w:t>Questions from the Audience:</w:t>
            </w:r>
          </w:p>
          <w:p w14:paraId="65DAEC47" w14:textId="77777777" w:rsidR="0072275A" w:rsidRDefault="0072275A"/>
          <w:p w14:paraId="5D20C584" w14:textId="0F41546C" w:rsidR="0031714D" w:rsidRDefault="002C5E72" w:rsidP="00195F10">
            <w:pPr>
              <w:pStyle w:val="ListParagraph"/>
              <w:numPr>
                <w:ilvl w:val="0"/>
                <w:numId w:val="5"/>
              </w:numPr>
            </w:pPr>
            <w:r>
              <w:t xml:space="preserve">Q: Susanville Indian Rancheria: We are a member of the California TANF consortium which is what kept us from 477, can we run other programs? We can’t get enough funding from the state for social programs which is why we work with the consortium and 477 sounds like an answer to our issue. </w:t>
            </w:r>
            <w:r w:rsidR="00195F10">
              <w:t>A: absolutely!</w:t>
            </w:r>
          </w:p>
          <w:p w14:paraId="58507F49" w14:textId="4F3E8500" w:rsidR="00195F10" w:rsidRDefault="00195F10" w:rsidP="00195F10">
            <w:pPr>
              <w:pStyle w:val="ListParagraph"/>
              <w:numPr>
                <w:ilvl w:val="0"/>
                <w:numId w:val="5"/>
              </w:numPr>
            </w:pPr>
            <w:r>
              <w:t xml:space="preserve">Q: Kotzebue: Say a tribe is 638 and they have all their programs and are reporting separately, so with 477 they only have to report one time and they don’t get any more money its just in one place? A: One 477 bank account that you can draw down from for all 477 programs, one report with three parts. </w:t>
            </w:r>
          </w:p>
          <w:p w14:paraId="2C813A0D" w14:textId="7DDCFE52" w:rsidR="00195F10" w:rsidRDefault="00195F10" w:rsidP="00195F10">
            <w:pPr>
              <w:pStyle w:val="ListParagraph"/>
              <w:numPr>
                <w:ilvl w:val="0"/>
                <w:numId w:val="5"/>
              </w:numPr>
            </w:pPr>
            <w:r>
              <w:t xml:space="preserve">Q: Alaska: In our communities, we have ex-convicts—can 477 programs provide job training for felons? A: Yes, you get to decide how to design your programs in a way that best serves your community. There are still places that won’t hire felons, we can’t help that. But we can train them for jobs that will hire them. </w:t>
            </w:r>
            <w:r w:rsidR="00252532">
              <w:t xml:space="preserve">Q: How do we access non-tribal funds for childcare? A: through HHS grants—just note that you want to use it for 477 programs. Childcare is considered part of job training because it allows the parents to go to training and not have to worry about their child. Q: My tribe has 230 people and we have a very small amount of base funding. A: There are small 477 tribes that couldn’t qualify for grants without 477 that now do because the programs are combined. </w:t>
            </w:r>
          </w:p>
          <w:p w14:paraId="6EA98BCF" w14:textId="57542A74" w:rsidR="00195F10" w:rsidRDefault="00195F10" w:rsidP="00195F10"/>
        </w:tc>
      </w:tr>
      <w:tr w:rsidR="0072275A" w14:paraId="37101B9D" w14:textId="77777777" w:rsidTr="00D51679">
        <w:tc>
          <w:tcPr>
            <w:tcW w:w="5000" w:type="pct"/>
            <w:gridSpan w:val="2"/>
          </w:tcPr>
          <w:p w14:paraId="449B4BED" w14:textId="77777777" w:rsidR="0072275A" w:rsidRDefault="0072275A">
            <w:r>
              <w:lastRenderedPageBreak/>
              <w:t>Follow Materials, Documents, Websites for Reference:</w:t>
            </w:r>
          </w:p>
          <w:p w14:paraId="14BC9FF0" w14:textId="77777777" w:rsidR="0072275A" w:rsidRDefault="0072275A"/>
          <w:p w14:paraId="23506FB0" w14:textId="22159AEF" w:rsidR="0072275A" w:rsidRDefault="00511DD6" w:rsidP="00511DD6">
            <w:pPr>
              <w:pStyle w:val="ListParagraph"/>
              <w:numPr>
                <w:ilvl w:val="0"/>
                <w:numId w:val="2"/>
              </w:numPr>
            </w:pPr>
            <w:r>
              <w:t>Margret handed out thumb drives with 477 history/information</w:t>
            </w:r>
            <w:r w:rsidR="00E27596">
              <w:t xml:space="preserve"> on new legislation</w:t>
            </w:r>
          </w:p>
          <w:p w14:paraId="31E58224" w14:textId="47380669" w:rsidR="00252532" w:rsidRDefault="00252532" w:rsidP="00511DD6">
            <w:pPr>
              <w:pStyle w:val="ListParagraph"/>
              <w:numPr>
                <w:ilvl w:val="0"/>
                <w:numId w:val="2"/>
              </w:numPr>
            </w:pPr>
            <w:r>
              <w:t>477 conferences found at n</w:t>
            </w:r>
            <w:r w:rsidR="00004EEA">
              <w:t>i</w:t>
            </w:r>
            <w:r>
              <w:t>n</w:t>
            </w:r>
            <w:r w:rsidR="00004EEA">
              <w:t>a</w:t>
            </w:r>
            <w:r>
              <w:t>et</w:t>
            </w:r>
            <w:r w:rsidR="00004EEA">
              <w:t>c</w:t>
            </w:r>
            <w:r>
              <w:t>.net</w:t>
            </w:r>
          </w:p>
          <w:p w14:paraId="3656B2A4" w14:textId="6322E83C" w:rsidR="0072275A" w:rsidRDefault="00252532" w:rsidP="00252532">
            <w:pPr>
              <w:pStyle w:val="ListParagraph"/>
              <w:numPr>
                <w:ilvl w:val="0"/>
                <w:numId w:val="2"/>
              </w:numPr>
            </w:pPr>
            <w:r>
              <w:t>National conference in April week of 14</w:t>
            </w:r>
            <w:r w:rsidRPr="00252532">
              <w:rPr>
                <w:vertAlign w:val="superscript"/>
              </w:rPr>
              <w:t>th</w:t>
            </w:r>
            <w:r>
              <w:t xml:space="preserve"> in 2019</w:t>
            </w:r>
            <w:bookmarkStart w:id="0" w:name="_GoBack"/>
            <w:bookmarkEnd w:id="0"/>
          </w:p>
        </w:tc>
      </w:tr>
    </w:tbl>
    <w:p w14:paraId="00002E4E" w14:textId="77777777" w:rsidR="00737E79" w:rsidRDefault="00737E79"/>
    <w:sectPr w:rsidR="00737E79" w:rsidSect="003171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lloonEFExtraBold">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8108C"/>
    <w:multiLevelType w:val="hybridMultilevel"/>
    <w:tmpl w:val="E11EC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BC6367"/>
    <w:multiLevelType w:val="hybridMultilevel"/>
    <w:tmpl w:val="4D7AB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4C2DAC"/>
    <w:multiLevelType w:val="hybridMultilevel"/>
    <w:tmpl w:val="A1082B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45602C"/>
    <w:multiLevelType w:val="hybridMultilevel"/>
    <w:tmpl w:val="DBB65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584B9A"/>
    <w:multiLevelType w:val="hybridMultilevel"/>
    <w:tmpl w:val="2D36D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E79"/>
    <w:rsid w:val="00004EEA"/>
    <w:rsid w:val="000053B1"/>
    <w:rsid w:val="00006090"/>
    <w:rsid w:val="00010AF5"/>
    <w:rsid w:val="00022771"/>
    <w:rsid w:val="000604AC"/>
    <w:rsid w:val="00066A49"/>
    <w:rsid w:val="000671AD"/>
    <w:rsid w:val="00067493"/>
    <w:rsid w:val="000839EA"/>
    <w:rsid w:val="000857D1"/>
    <w:rsid w:val="000872D4"/>
    <w:rsid w:val="000A103D"/>
    <w:rsid w:val="000A2AE5"/>
    <w:rsid w:val="000A7218"/>
    <w:rsid w:val="000A777B"/>
    <w:rsid w:val="000B2EF2"/>
    <w:rsid w:val="000B3CF7"/>
    <w:rsid w:val="000B6AE2"/>
    <w:rsid w:val="000C4AD7"/>
    <w:rsid w:val="000D4CDC"/>
    <w:rsid w:val="000D7C88"/>
    <w:rsid w:val="000E18C2"/>
    <w:rsid w:val="000E1FAE"/>
    <w:rsid w:val="000E23BE"/>
    <w:rsid w:val="000E469E"/>
    <w:rsid w:val="000E6258"/>
    <w:rsid w:val="000F17E1"/>
    <w:rsid w:val="00105DAC"/>
    <w:rsid w:val="00114C80"/>
    <w:rsid w:val="00115314"/>
    <w:rsid w:val="00120CB6"/>
    <w:rsid w:val="00121713"/>
    <w:rsid w:val="0013221C"/>
    <w:rsid w:val="00134C72"/>
    <w:rsid w:val="00135918"/>
    <w:rsid w:val="00135A85"/>
    <w:rsid w:val="00142F83"/>
    <w:rsid w:val="00143786"/>
    <w:rsid w:val="00150190"/>
    <w:rsid w:val="00162FE2"/>
    <w:rsid w:val="00163A28"/>
    <w:rsid w:val="00170CE7"/>
    <w:rsid w:val="0017124B"/>
    <w:rsid w:val="00174B38"/>
    <w:rsid w:val="00182018"/>
    <w:rsid w:val="00182D3F"/>
    <w:rsid w:val="00186F8F"/>
    <w:rsid w:val="001911B4"/>
    <w:rsid w:val="0019587B"/>
    <w:rsid w:val="00195F10"/>
    <w:rsid w:val="001A10AD"/>
    <w:rsid w:val="001A3216"/>
    <w:rsid w:val="001A6BBD"/>
    <w:rsid w:val="001B11BF"/>
    <w:rsid w:val="001B4524"/>
    <w:rsid w:val="001B6040"/>
    <w:rsid w:val="001C0528"/>
    <w:rsid w:val="001C5271"/>
    <w:rsid w:val="001D6BE9"/>
    <w:rsid w:val="001E5F73"/>
    <w:rsid w:val="001E72EB"/>
    <w:rsid w:val="001F0A24"/>
    <w:rsid w:val="001F37A8"/>
    <w:rsid w:val="001F43A7"/>
    <w:rsid w:val="00207BD1"/>
    <w:rsid w:val="00211512"/>
    <w:rsid w:val="00214645"/>
    <w:rsid w:val="00214A63"/>
    <w:rsid w:val="00226078"/>
    <w:rsid w:val="00230058"/>
    <w:rsid w:val="0023183B"/>
    <w:rsid w:val="00231C58"/>
    <w:rsid w:val="00232765"/>
    <w:rsid w:val="00236B63"/>
    <w:rsid w:val="00242674"/>
    <w:rsid w:val="00252532"/>
    <w:rsid w:val="0025565F"/>
    <w:rsid w:val="00257763"/>
    <w:rsid w:val="0026311A"/>
    <w:rsid w:val="0026608E"/>
    <w:rsid w:val="00281EFA"/>
    <w:rsid w:val="00286C37"/>
    <w:rsid w:val="0029216A"/>
    <w:rsid w:val="00293550"/>
    <w:rsid w:val="00293B13"/>
    <w:rsid w:val="002A033D"/>
    <w:rsid w:val="002B5014"/>
    <w:rsid w:val="002C5E72"/>
    <w:rsid w:val="002D6469"/>
    <w:rsid w:val="002D697B"/>
    <w:rsid w:val="002E42F3"/>
    <w:rsid w:val="002E5F86"/>
    <w:rsid w:val="002F41DE"/>
    <w:rsid w:val="00300166"/>
    <w:rsid w:val="00302609"/>
    <w:rsid w:val="00306A65"/>
    <w:rsid w:val="00312FEC"/>
    <w:rsid w:val="0031595B"/>
    <w:rsid w:val="00316EB9"/>
    <w:rsid w:val="0031714D"/>
    <w:rsid w:val="0032036F"/>
    <w:rsid w:val="00321DB4"/>
    <w:rsid w:val="00325ADF"/>
    <w:rsid w:val="0033300B"/>
    <w:rsid w:val="003423A9"/>
    <w:rsid w:val="00346E2D"/>
    <w:rsid w:val="00346E59"/>
    <w:rsid w:val="00347FCD"/>
    <w:rsid w:val="0035031C"/>
    <w:rsid w:val="0035434E"/>
    <w:rsid w:val="00354ADF"/>
    <w:rsid w:val="00355D44"/>
    <w:rsid w:val="00365C3A"/>
    <w:rsid w:val="003853F9"/>
    <w:rsid w:val="00385ED2"/>
    <w:rsid w:val="00386221"/>
    <w:rsid w:val="00391567"/>
    <w:rsid w:val="0039222B"/>
    <w:rsid w:val="00393B91"/>
    <w:rsid w:val="00394AE2"/>
    <w:rsid w:val="00397015"/>
    <w:rsid w:val="003A3D97"/>
    <w:rsid w:val="003A62D9"/>
    <w:rsid w:val="003B4662"/>
    <w:rsid w:val="003C4639"/>
    <w:rsid w:val="003D4105"/>
    <w:rsid w:val="003D6453"/>
    <w:rsid w:val="003D7659"/>
    <w:rsid w:val="003E1B8C"/>
    <w:rsid w:val="003F72E7"/>
    <w:rsid w:val="00412791"/>
    <w:rsid w:val="00426DF5"/>
    <w:rsid w:val="00444509"/>
    <w:rsid w:val="00444AA8"/>
    <w:rsid w:val="00446102"/>
    <w:rsid w:val="00446EB9"/>
    <w:rsid w:val="00451583"/>
    <w:rsid w:val="0045706D"/>
    <w:rsid w:val="00460B27"/>
    <w:rsid w:val="004620D4"/>
    <w:rsid w:val="004750D4"/>
    <w:rsid w:val="004801F1"/>
    <w:rsid w:val="00484D94"/>
    <w:rsid w:val="0048784C"/>
    <w:rsid w:val="00493E00"/>
    <w:rsid w:val="004978D0"/>
    <w:rsid w:val="004B6109"/>
    <w:rsid w:val="004B68B5"/>
    <w:rsid w:val="004C08C9"/>
    <w:rsid w:val="004D291F"/>
    <w:rsid w:val="004D4448"/>
    <w:rsid w:val="004E1495"/>
    <w:rsid w:val="004E4360"/>
    <w:rsid w:val="004E7960"/>
    <w:rsid w:val="00505205"/>
    <w:rsid w:val="00510807"/>
    <w:rsid w:val="00511DD6"/>
    <w:rsid w:val="00512C1D"/>
    <w:rsid w:val="00513953"/>
    <w:rsid w:val="00514A5A"/>
    <w:rsid w:val="005270F7"/>
    <w:rsid w:val="00550443"/>
    <w:rsid w:val="0055045D"/>
    <w:rsid w:val="00550FA2"/>
    <w:rsid w:val="005521F6"/>
    <w:rsid w:val="00555ECB"/>
    <w:rsid w:val="00560313"/>
    <w:rsid w:val="005630F0"/>
    <w:rsid w:val="00563CA4"/>
    <w:rsid w:val="005700C7"/>
    <w:rsid w:val="00571CEF"/>
    <w:rsid w:val="00573AB5"/>
    <w:rsid w:val="005774A1"/>
    <w:rsid w:val="00580B65"/>
    <w:rsid w:val="00583137"/>
    <w:rsid w:val="00584BBB"/>
    <w:rsid w:val="00586F37"/>
    <w:rsid w:val="00591C11"/>
    <w:rsid w:val="0059796A"/>
    <w:rsid w:val="005A3261"/>
    <w:rsid w:val="005A3D7E"/>
    <w:rsid w:val="005A7948"/>
    <w:rsid w:val="005B0797"/>
    <w:rsid w:val="005B3EA4"/>
    <w:rsid w:val="005B45E3"/>
    <w:rsid w:val="005B6A64"/>
    <w:rsid w:val="005C1FAB"/>
    <w:rsid w:val="005E620E"/>
    <w:rsid w:val="005F484C"/>
    <w:rsid w:val="005F6F95"/>
    <w:rsid w:val="00604127"/>
    <w:rsid w:val="00604297"/>
    <w:rsid w:val="00614883"/>
    <w:rsid w:val="00631FAB"/>
    <w:rsid w:val="00633B5F"/>
    <w:rsid w:val="00635E6E"/>
    <w:rsid w:val="00641191"/>
    <w:rsid w:val="00650332"/>
    <w:rsid w:val="00654A57"/>
    <w:rsid w:val="00667F94"/>
    <w:rsid w:val="006703DB"/>
    <w:rsid w:val="0068648F"/>
    <w:rsid w:val="00690B5F"/>
    <w:rsid w:val="00691A8A"/>
    <w:rsid w:val="006B60C7"/>
    <w:rsid w:val="006D1116"/>
    <w:rsid w:val="006E0A55"/>
    <w:rsid w:val="006F3641"/>
    <w:rsid w:val="006F7360"/>
    <w:rsid w:val="00706C59"/>
    <w:rsid w:val="00711D1A"/>
    <w:rsid w:val="0072275A"/>
    <w:rsid w:val="00727C4D"/>
    <w:rsid w:val="00732B6F"/>
    <w:rsid w:val="00734BC7"/>
    <w:rsid w:val="00736C7B"/>
    <w:rsid w:val="00737869"/>
    <w:rsid w:val="00737E79"/>
    <w:rsid w:val="00741F5C"/>
    <w:rsid w:val="00745866"/>
    <w:rsid w:val="00752613"/>
    <w:rsid w:val="00757F6B"/>
    <w:rsid w:val="00760789"/>
    <w:rsid w:val="007771FC"/>
    <w:rsid w:val="00781581"/>
    <w:rsid w:val="00783290"/>
    <w:rsid w:val="007859FD"/>
    <w:rsid w:val="00790E17"/>
    <w:rsid w:val="00791274"/>
    <w:rsid w:val="00793940"/>
    <w:rsid w:val="007A312D"/>
    <w:rsid w:val="007A779D"/>
    <w:rsid w:val="007B0D2F"/>
    <w:rsid w:val="007B1737"/>
    <w:rsid w:val="007E27A9"/>
    <w:rsid w:val="007E7630"/>
    <w:rsid w:val="007F4AF6"/>
    <w:rsid w:val="007F79AF"/>
    <w:rsid w:val="00802BD8"/>
    <w:rsid w:val="00804F86"/>
    <w:rsid w:val="00816771"/>
    <w:rsid w:val="00816E79"/>
    <w:rsid w:val="00822D17"/>
    <w:rsid w:val="00831A74"/>
    <w:rsid w:val="00833A82"/>
    <w:rsid w:val="00841502"/>
    <w:rsid w:val="00842D57"/>
    <w:rsid w:val="008476E0"/>
    <w:rsid w:val="00850679"/>
    <w:rsid w:val="0085272C"/>
    <w:rsid w:val="0085284B"/>
    <w:rsid w:val="0087697D"/>
    <w:rsid w:val="00877A83"/>
    <w:rsid w:val="008827D9"/>
    <w:rsid w:val="00893126"/>
    <w:rsid w:val="00896BAD"/>
    <w:rsid w:val="00896F83"/>
    <w:rsid w:val="008A4890"/>
    <w:rsid w:val="008A7DC8"/>
    <w:rsid w:val="008B25DE"/>
    <w:rsid w:val="008C4C29"/>
    <w:rsid w:val="008C655B"/>
    <w:rsid w:val="008D2A82"/>
    <w:rsid w:val="008D3641"/>
    <w:rsid w:val="008E4B64"/>
    <w:rsid w:val="008F5E77"/>
    <w:rsid w:val="009044DE"/>
    <w:rsid w:val="00906167"/>
    <w:rsid w:val="009268D8"/>
    <w:rsid w:val="00931AA1"/>
    <w:rsid w:val="00935C96"/>
    <w:rsid w:val="00953B23"/>
    <w:rsid w:val="00960A25"/>
    <w:rsid w:val="009611A0"/>
    <w:rsid w:val="0096516A"/>
    <w:rsid w:val="00972E5E"/>
    <w:rsid w:val="00982173"/>
    <w:rsid w:val="009857ED"/>
    <w:rsid w:val="009873CD"/>
    <w:rsid w:val="00991D58"/>
    <w:rsid w:val="009929CF"/>
    <w:rsid w:val="00997B87"/>
    <w:rsid w:val="009B6B4E"/>
    <w:rsid w:val="009D28B7"/>
    <w:rsid w:val="009D4569"/>
    <w:rsid w:val="009D4B81"/>
    <w:rsid w:val="009F5071"/>
    <w:rsid w:val="009F5AB0"/>
    <w:rsid w:val="00A003F7"/>
    <w:rsid w:val="00A00BBF"/>
    <w:rsid w:val="00A00D7A"/>
    <w:rsid w:val="00A05D32"/>
    <w:rsid w:val="00A11C87"/>
    <w:rsid w:val="00A20097"/>
    <w:rsid w:val="00A22FB1"/>
    <w:rsid w:val="00A269AB"/>
    <w:rsid w:val="00A3523A"/>
    <w:rsid w:val="00A44AC9"/>
    <w:rsid w:val="00A46162"/>
    <w:rsid w:val="00A5440A"/>
    <w:rsid w:val="00A546B2"/>
    <w:rsid w:val="00A57311"/>
    <w:rsid w:val="00A67F50"/>
    <w:rsid w:val="00A81967"/>
    <w:rsid w:val="00A854E7"/>
    <w:rsid w:val="00A9709B"/>
    <w:rsid w:val="00AB0836"/>
    <w:rsid w:val="00AB29D5"/>
    <w:rsid w:val="00AC2D55"/>
    <w:rsid w:val="00AC4145"/>
    <w:rsid w:val="00AC7702"/>
    <w:rsid w:val="00AD0FCD"/>
    <w:rsid w:val="00AD276D"/>
    <w:rsid w:val="00AD4160"/>
    <w:rsid w:val="00AE1AF0"/>
    <w:rsid w:val="00AE40D6"/>
    <w:rsid w:val="00AF0658"/>
    <w:rsid w:val="00AF59C6"/>
    <w:rsid w:val="00AF67A6"/>
    <w:rsid w:val="00B0789C"/>
    <w:rsid w:val="00B1304C"/>
    <w:rsid w:val="00B210BB"/>
    <w:rsid w:val="00B52555"/>
    <w:rsid w:val="00B60A0F"/>
    <w:rsid w:val="00B633A3"/>
    <w:rsid w:val="00B65E5D"/>
    <w:rsid w:val="00B9504E"/>
    <w:rsid w:val="00B97DCF"/>
    <w:rsid w:val="00BA45DC"/>
    <w:rsid w:val="00BA7E4F"/>
    <w:rsid w:val="00BD3CC7"/>
    <w:rsid w:val="00BD5F01"/>
    <w:rsid w:val="00BE1340"/>
    <w:rsid w:val="00BE2152"/>
    <w:rsid w:val="00BE4A52"/>
    <w:rsid w:val="00BF3482"/>
    <w:rsid w:val="00BF4FE0"/>
    <w:rsid w:val="00C12606"/>
    <w:rsid w:val="00C17388"/>
    <w:rsid w:val="00C23179"/>
    <w:rsid w:val="00C32117"/>
    <w:rsid w:val="00C32E1D"/>
    <w:rsid w:val="00C40099"/>
    <w:rsid w:val="00C405F1"/>
    <w:rsid w:val="00C44BA7"/>
    <w:rsid w:val="00C47D31"/>
    <w:rsid w:val="00C50DF5"/>
    <w:rsid w:val="00C55EFA"/>
    <w:rsid w:val="00C575F1"/>
    <w:rsid w:val="00C57675"/>
    <w:rsid w:val="00C64868"/>
    <w:rsid w:val="00C904FA"/>
    <w:rsid w:val="00C97392"/>
    <w:rsid w:val="00CA0F58"/>
    <w:rsid w:val="00CA1A48"/>
    <w:rsid w:val="00CB419B"/>
    <w:rsid w:val="00CC0918"/>
    <w:rsid w:val="00CC5C6A"/>
    <w:rsid w:val="00CC6E88"/>
    <w:rsid w:val="00CD3A87"/>
    <w:rsid w:val="00CD4095"/>
    <w:rsid w:val="00CE18C7"/>
    <w:rsid w:val="00D0294D"/>
    <w:rsid w:val="00D14851"/>
    <w:rsid w:val="00D21DFD"/>
    <w:rsid w:val="00D25630"/>
    <w:rsid w:val="00D31DB6"/>
    <w:rsid w:val="00D34928"/>
    <w:rsid w:val="00D350FF"/>
    <w:rsid w:val="00D3518A"/>
    <w:rsid w:val="00D366DF"/>
    <w:rsid w:val="00D422DE"/>
    <w:rsid w:val="00D51679"/>
    <w:rsid w:val="00D53AE7"/>
    <w:rsid w:val="00D54D6D"/>
    <w:rsid w:val="00D55B9F"/>
    <w:rsid w:val="00D603C4"/>
    <w:rsid w:val="00D73829"/>
    <w:rsid w:val="00D80D7E"/>
    <w:rsid w:val="00D81F12"/>
    <w:rsid w:val="00D871AE"/>
    <w:rsid w:val="00D87703"/>
    <w:rsid w:val="00D92BF6"/>
    <w:rsid w:val="00DA04B8"/>
    <w:rsid w:val="00DA3C8F"/>
    <w:rsid w:val="00DA67D5"/>
    <w:rsid w:val="00DB0A74"/>
    <w:rsid w:val="00DB153F"/>
    <w:rsid w:val="00DB2847"/>
    <w:rsid w:val="00DB5249"/>
    <w:rsid w:val="00DC1091"/>
    <w:rsid w:val="00DC18D8"/>
    <w:rsid w:val="00DC2919"/>
    <w:rsid w:val="00DC3884"/>
    <w:rsid w:val="00DC4C04"/>
    <w:rsid w:val="00DC6C2A"/>
    <w:rsid w:val="00DD284B"/>
    <w:rsid w:val="00DE1371"/>
    <w:rsid w:val="00DE3B3D"/>
    <w:rsid w:val="00DE4D0E"/>
    <w:rsid w:val="00DF1B1A"/>
    <w:rsid w:val="00DF2E34"/>
    <w:rsid w:val="00DF794F"/>
    <w:rsid w:val="00E02432"/>
    <w:rsid w:val="00E03757"/>
    <w:rsid w:val="00E1389B"/>
    <w:rsid w:val="00E13E22"/>
    <w:rsid w:val="00E2005C"/>
    <w:rsid w:val="00E23ECC"/>
    <w:rsid w:val="00E27596"/>
    <w:rsid w:val="00E33225"/>
    <w:rsid w:val="00E33E89"/>
    <w:rsid w:val="00E51536"/>
    <w:rsid w:val="00E51F99"/>
    <w:rsid w:val="00E52B1C"/>
    <w:rsid w:val="00E53D93"/>
    <w:rsid w:val="00E54394"/>
    <w:rsid w:val="00E57C28"/>
    <w:rsid w:val="00E61CF7"/>
    <w:rsid w:val="00E62A79"/>
    <w:rsid w:val="00E62B17"/>
    <w:rsid w:val="00E63117"/>
    <w:rsid w:val="00E64FB9"/>
    <w:rsid w:val="00E6527C"/>
    <w:rsid w:val="00E86F7E"/>
    <w:rsid w:val="00E9619F"/>
    <w:rsid w:val="00E979F3"/>
    <w:rsid w:val="00EA0169"/>
    <w:rsid w:val="00EA129D"/>
    <w:rsid w:val="00EA2100"/>
    <w:rsid w:val="00EA2FB2"/>
    <w:rsid w:val="00EA745C"/>
    <w:rsid w:val="00EB2371"/>
    <w:rsid w:val="00EB337D"/>
    <w:rsid w:val="00EC41D0"/>
    <w:rsid w:val="00EC4B41"/>
    <w:rsid w:val="00EC7EAA"/>
    <w:rsid w:val="00ED056C"/>
    <w:rsid w:val="00ED151D"/>
    <w:rsid w:val="00ED1540"/>
    <w:rsid w:val="00ED37A6"/>
    <w:rsid w:val="00ED3897"/>
    <w:rsid w:val="00EF1D46"/>
    <w:rsid w:val="00EF2060"/>
    <w:rsid w:val="00EF46B6"/>
    <w:rsid w:val="00F05F68"/>
    <w:rsid w:val="00F0708B"/>
    <w:rsid w:val="00F15736"/>
    <w:rsid w:val="00F3021F"/>
    <w:rsid w:val="00F3051A"/>
    <w:rsid w:val="00F31B1B"/>
    <w:rsid w:val="00F33BB9"/>
    <w:rsid w:val="00F36674"/>
    <w:rsid w:val="00F4490C"/>
    <w:rsid w:val="00F524E5"/>
    <w:rsid w:val="00F56027"/>
    <w:rsid w:val="00F5648C"/>
    <w:rsid w:val="00F62F05"/>
    <w:rsid w:val="00F65460"/>
    <w:rsid w:val="00F714C9"/>
    <w:rsid w:val="00F72799"/>
    <w:rsid w:val="00F73435"/>
    <w:rsid w:val="00F74A68"/>
    <w:rsid w:val="00F768EF"/>
    <w:rsid w:val="00F76DB7"/>
    <w:rsid w:val="00F814D3"/>
    <w:rsid w:val="00F84B8C"/>
    <w:rsid w:val="00F84F2B"/>
    <w:rsid w:val="00F85693"/>
    <w:rsid w:val="00F942C8"/>
    <w:rsid w:val="00FA74D3"/>
    <w:rsid w:val="00FB16BF"/>
    <w:rsid w:val="00FB364B"/>
    <w:rsid w:val="00FB39FD"/>
    <w:rsid w:val="00FB506F"/>
    <w:rsid w:val="00FC721A"/>
    <w:rsid w:val="00FD6BBB"/>
    <w:rsid w:val="00FD7158"/>
    <w:rsid w:val="00FE37F4"/>
    <w:rsid w:val="00FE4A1D"/>
    <w:rsid w:val="00FE7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9663A"/>
  <w15:docId w15:val="{984510B4-ECDF-4C52-B1C8-53B228C07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7E79"/>
    <w:pPr>
      <w:spacing w:after="0" w:line="240" w:lineRule="auto"/>
    </w:pPr>
    <w:rPr>
      <w:rFonts w:ascii="Century Gothic" w:eastAsia="Calibri" w:hAnsi="Century Gothic"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7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275A"/>
    <w:rPr>
      <w:rFonts w:ascii="Tahoma" w:hAnsi="Tahoma" w:cs="Tahoma"/>
      <w:sz w:val="16"/>
      <w:szCs w:val="16"/>
    </w:rPr>
  </w:style>
  <w:style w:type="character" w:customStyle="1" w:styleId="BalloonTextChar">
    <w:name w:val="Balloon Text Char"/>
    <w:basedOn w:val="DefaultParagraphFont"/>
    <w:link w:val="BalloonText"/>
    <w:uiPriority w:val="99"/>
    <w:semiHidden/>
    <w:rsid w:val="0072275A"/>
    <w:rPr>
      <w:rFonts w:ascii="Tahoma" w:eastAsia="Calibri" w:hAnsi="Tahoma" w:cs="Tahoma"/>
      <w:sz w:val="16"/>
      <w:szCs w:val="16"/>
    </w:rPr>
  </w:style>
  <w:style w:type="paragraph" w:styleId="ListParagraph">
    <w:name w:val="List Paragraph"/>
    <w:basedOn w:val="Normal"/>
    <w:uiPriority w:val="34"/>
    <w:qFormat/>
    <w:rsid w:val="00C32E1D"/>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Kinley</dc:creator>
  <cp:lastModifiedBy>TAMI SNOW</cp:lastModifiedBy>
  <cp:revision>6</cp:revision>
  <dcterms:created xsi:type="dcterms:W3CDTF">2018-04-11T14:08:00Z</dcterms:created>
  <dcterms:modified xsi:type="dcterms:W3CDTF">2018-04-25T22:56:00Z</dcterms:modified>
</cp:coreProperties>
</file>