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E164" w14:textId="77777777" w:rsidR="00586F37" w:rsidRDefault="00D51679" w:rsidP="00D51679">
      <w:pPr>
        <w:ind w:left="-90" w:right="-90"/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  <w:sz w:val="24"/>
          <w:szCs w:val="36"/>
        </w:rPr>
        <w:drawing>
          <wp:anchor distT="0" distB="0" distL="114300" distR="114300" simplePos="0" relativeHeight="251658240" behindDoc="1" locked="0" layoutInCell="1" allowOverlap="1" wp14:anchorId="21FD18C4" wp14:editId="05ABD40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8592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36" y="214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 Branson\AppData\Local\Microsoft\Windows\INetCache\Content.Word\SGCC_WbBnr720x145_3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6092"/>
      </w:tblGrid>
      <w:tr w:rsidR="00586F37" w:rsidRPr="00586F37" w14:paraId="1E963B5E" w14:textId="77777777" w:rsidTr="00D51679">
        <w:tc>
          <w:tcPr>
            <w:tcW w:w="5000" w:type="pct"/>
            <w:gridSpan w:val="2"/>
            <w:shd w:val="clear" w:color="auto" w:fill="auto"/>
          </w:tcPr>
          <w:p w14:paraId="6D638946" w14:textId="77777777" w:rsidR="0031714D" w:rsidRPr="00586F37" w:rsidRDefault="00737E79" w:rsidP="0031714D">
            <w:pPr>
              <w:jc w:val="center"/>
              <w:outlineLvl w:val="0"/>
              <w:rPr>
                <w:rFonts w:ascii="BalloonEFExtraBold" w:hAnsi="BalloonEFExtraBold"/>
                <w:b/>
                <w:sz w:val="28"/>
                <w:szCs w:val="36"/>
              </w:rPr>
            </w:pPr>
            <w:r w:rsidRPr="00586F37">
              <w:rPr>
                <w:rFonts w:ascii="Times New Roman" w:hAnsi="Times New Roman"/>
                <w:b/>
                <w:sz w:val="36"/>
                <w:szCs w:val="36"/>
              </w:rPr>
              <w:t>Recorder For</w:t>
            </w:r>
            <w:r w:rsidR="0031714D" w:rsidRPr="00586F37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</w:tr>
      <w:tr w:rsidR="0031714D" w14:paraId="6136186A" w14:textId="77777777" w:rsidTr="00D51679">
        <w:tc>
          <w:tcPr>
            <w:tcW w:w="5000" w:type="pct"/>
            <w:gridSpan w:val="2"/>
            <w:shd w:val="clear" w:color="auto" w:fill="auto"/>
          </w:tcPr>
          <w:p w14:paraId="04703F39" w14:textId="529F056B" w:rsidR="0031714D" w:rsidRPr="00C32117" w:rsidRDefault="00FC721A" w:rsidP="008D3641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 xml:space="preserve">Onsite Contact </w:t>
            </w:r>
            <w:r w:rsidR="00493E00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Tami Snow 918.388.7428</w:t>
            </w:r>
          </w:p>
        </w:tc>
      </w:tr>
      <w:tr w:rsidR="00737E79" w14:paraId="1204F1CC" w14:textId="77777777" w:rsidTr="00D51679">
        <w:tc>
          <w:tcPr>
            <w:tcW w:w="2177" w:type="pct"/>
          </w:tcPr>
          <w:p w14:paraId="735388E0" w14:textId="7D6AF96F" w:rsidR="00737E79" w:rsidRDefault="00737E79" w:rsidP="0072275A">
            <w:pPr>
              <w:spacing w:before="120" w:after="120"/>
            </w:pPr>
            <w:r>
              <w:t>Recorder:</w:t>
            </w:r>
            <w:r w:rsidR="000F17E1">
              <w:t xml:space="preserve"> </w:t>
            </w:r>
            <w:r w:rsidR="005E1E1A">
              <w:t>Dee Sabattus</w:t>
            </w:r>
          </w:p>
        </w:tc>
        <w:tc>
          <w:tcPr>
            <w:tcW w:w="2823" w:type="pct"/>
          </w:tcPr>
          <w:p w14:paraId="66B6E891" w14:textId="6A3D98B6" w:rsidR="00737E79" w:rsidRDefault="00D51679" w:rsidP="000F17E1">
            <w:pPr>
              <w:spacing w:before="120" w:after="120"/>
            </w:pPr>
            <w:r>
              <w:t>Date:</w:t>
            </w:r>
            <w:r w:rsidR="005E1E1A">
              <w:t xml:space="preserve"> April 24, 2018</w:t>
            </w:r>
          </w:p>
        </w:tc>
      </w:tr>
      <w:tr w:rsidR="00737E79" w14:paraId="030C9D78" w14:textId="77777777" w:rsidTr="00D51679">
        <w:tc>
          <w:tcPr>
            <w:tcW w:w="5000" w:type="pct"/>
            <w:gridSpan w:val="2"/>
          </w:tcPr>
          <w:p w14:paraId="62BCE0E5" w14:textId="2ABD80E9" w:rsidR="00737E79" w:rsidRDefault="00737E79" w:rsidP="0072275A">
            <w:pPr>
              <w:spacing w:before="120" w:after="120"/>
            </w:pPr>
            <w:r>
              <w:t>Session Title:</w:t>
            </w:r>
            <w:r w:rsidR="000F17E1">
              <w:t xml:space="preserve"> </w:t>
            </w:r>
            <w:r w:rsidR="005E1E1A">
              <w:t xml:space="preserve">CDC Tribal Advisory Committee Update and Public Health Initiatives </w:t>
            </w:r>
          </w:p>
        </w:tc>
      </w:tr>
      <w:tr w:rsidR="00737E79" w14:paraId="7E9FF045" w14:textId="77777777" w:rsidTr="00D51679">
        <w:tc>
          <w:tcPr>
            <w:tcW w:w="5000" w:type="pct"/>
            <w:gridSpan w:val="2"/>
          </w:tcPr>
          <w:p w14:paraId="1601A3C4" w14:textId="77777777" w:rsidR="00737E79" w:rsidRDefault="00737E79" w:rsidP="0072275A">
            <w:pPr>
              <w:spacing w:before="120" w:after="120"/>
            </w:pPr>
            <w:r>
              <w:t>Panelists:</w:t>
            </w:r>
            <w:r w:rsidR="000F17E1">
              <w:t xml:space="preserve"> </w:t>
            </w:r>
          </w:p>
          <w:p w14:paraId="0A6B8AAE" w14:textId="0D16107A" w:rsidR="005E1E1A" w:rsidRDefault="005E1E1A" w:rsidP="005E1E1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Carolyn Angus-Hornbuckle, Deputy Director and Director of Public Health Programs and Policy, NIHB</w:t>
            </w:r>
          </w:p>
          <w:p w14:paraId="2282D2FE" w14:textId="722B0A5A" w:rsidR="005E1E1A" w:rsidRDefault="005E1E1A" w:rsidP="005E1E1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Lisa </w:t>
            </w:r>
            <w:proofErr w:type="spellStart"/>
            <w:r>
              <w:t>Pivec</w:t>
            </w:r>
            <w:proofErr w:type="spellEnd"/>
            <w:r>
              <w:t>, Senior Director of Public Health, Cherokee Nation</w:t>
            </w:r>
          </w:p>
          <w:p w14:paraId="61CC9CA8" w14:textId="045512DB" w:rsidR="0072275A" w:rsidRDefault="005E1E1A" w:rsidP="005E1E1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Amy Groom, CDC/National Center for Chronic Disease Prevention and Health Promotion, TECPHI Project Officer</w:t>
            </w:r>
          </w:p>
          <w:p w14:paraId="3E37D2D4" w14:textId="07673811" w:rsidR="006929C4" w:rsidRDefault="006929C4" w:rsidP="006929C4">
            <w:pPr>
              <w:spacing w:before="120" w:after="120"/>
            </w:pPr>
            <w:r>
              <w:t>Moderator: Melanie Fourkiller, Policy Analyst, Choctaw</w:t>
            </w:r>
          </w:p>
        </w:tc>
      </w:tr>
      <w:tr w:rsidR="00737E79" w14:paraId="2681FF12" w14:textId="77777777" w:rsidTr="00D51679">
        <w:tc>
          <w:tcPr>
            <w:tcW w:w="5000" w:type="pct"/>
            <w:gridSpan w:val="2"/>
          </w:tcPr>
          <w:p w14:paraId="08999E83" w14:textId="77777777" w:rsidR="00303DBE" w:rsidRPr="00303DBE" w:rsidRDefault="0031714D" w:rsidP="009D7795">
            <w:pPr>
              <w:rPr>
                <w:b/>
              </w:rPr>
            </w:pPr>
            <w:r w:rsidRPr="00303DBE">
              <w:rPr>
                <w:b/>
              </w:rPr>
              <w:t>Summary of Issue</w:t>
            </w:r>
            <w:r w:rsidR="0072275A" w:rsidRPr="00303DBE">
              <w:rPr>
                <w:b/>
              </w:rPr>
              <w:t>s and Items Discussed</w:t>
            </w:r>
            <w:r w:rsidRPr="00303DBE">
              <w:rPr>
                <w:b/>
              </w:rPr>
              <w:t xml:space="preserve">: </w:t>
            </w:r>
          </w:p>
          <w:p w14:paraId="724F5D6F" w14:textId="77777777" w:rsidR="006929C4" w:rsidRDefault="006929C4" w:rsidP="009D7795"/>
          <w:p w14:paraId="7B147566" w14:textId="4231246E" w:rsidR="009D7795" w:rsidRDefault="00E5321C" w:rsidP="009D7795">
            <w:r>
              <w:t xml:space="preserve">Overview of “What is Public Health?”  </w:t>
            </w:r>
          </w:p>
          <w:p w14:paraId="343EC3D3" w14:textId="70EACF02" w:rsidR="0031714D" w:rsidRDefault="00E5321C" w:rsidP="009D7795">
            <w:pPr>
              <w:pStyle w:val="ListParagraph"/>
              <w:numPr>
                <w:ilvl w:val="0"/>
                <w:numId w:val="3"/>
              </w:numPr>
            </w:pPr>
            <w:r>
              <w:t xml:space="preserve">Public Health monitors the health of a populations, promotes healthy behaviors, mobilizes communities for action, develops policies to protect and promote healthy behaviors and responds to public health emergencies. </w:t>
            </w:r>
          </w:p>
          <w:p w14:paraId="0E62C62A" w14:textId="0EFE9167" w:rsidR="00E5321C" w:rsidRDefault="00E5321C" w:rsidP="00E5321C">
            <w:r>
              <w:t>Public Health Accreditation</w:t>
            </w:r>
            <w:r w:rsidR="00E30BD9">
              <w:t xml:space="preserve">, </w:t>
            </w:r>
            <w:r>
              <w:t xml:space="preserve">why </w:t>
            </w:r>
            <w:r w:rsidR="009D7795">
              <w:t>it’s</w:t>
            </w:r>
            <w:r>
              <w:t xml:space="preserve"> important</w:t>
            </w:r>
            <w:r w:rsidR="009D7795">
              <w:t xml:space="preserve"> and how it connects with Self Governance</w:t>
            </w:r>
            <w:r>
              <w:t>?</w:t>
            </w:r>
          </w:p>
          <w:p w14:paraId="07EF51D6" w14:textId="2D9CAB86" w:rsidR="00E5321C" w:rsidRDefault="00E5321C" w:rsidP="00E5321C">
            <w:pPr>
              <w:pStyle w:val="ListParagraph"/>
              <w:numPr>
                <w:ilvl w:val="0"/>
                <w:numId w:val="2"/>
              </w:numPr>
            </w:pPr>
            <w:r>
              <w:t xml:space="preserve">Assists Tribes and health programs </w:t>
            </w:r>
            <w:r w:rsidR="009D7795">
              <w:t>evaluate programs to understand strengths</w:t>
            </w:r>
            <w:r w:rsidR="00303DBE">
              <w:t xml:space="preserve"> and</w:t>
            </w:r>
            <w:r w:rsidR="009D7795">
              <w:t xml:space="preserve"> weaknesses to build and/or advance programmatic activities</w:t>
            </w:r>
            <w:r w:rsidR="00303DBE">
              <w:t>.</w:t>
            </w:r>
          </w:p>
          <w:p w14:paraId="6E6CEF3F" w14:textId="24F1027E" w:rsidR="00303DBE" w:rsidRDefault="00303DBE" w:rsidP="00E5321C">
            <w:pPr>
              <w:pStyle w:val="ListParagraph"/>
              <w:numPr>
                <w:ilvl w:val="0"/>
                <w:numId w:val="2"/>
              </w:numPr>
            </w:pPr>
            <w:r>
              <w:t xml:space="preserve">Accredited or not, the process assists with advancing the care provided to the individual communities. </w:t>
            </w:r>
          </w:p>
          <w:p w14:paraId="4CF961AE" w14:textId="2681519A" w:rsidR="00303DBE" w:rsidRDefault="00303DBE" w:rsidP="00303DBE">
            <w:r>
              <w:t>Summary of IHS and Cuts to Public Health:</w:t>
            </w:r>
          </w:p>
          <w:p w14:paraId="4134CD1B" w14:textId="4728CE3E" w:rsidR="00303DBE" w:rsidRDefault="00303DBE" w:rsidP="00303DBE">
            <w:pPr>
              <w:pStyle w:val="ListParagraph"/>
              <w:numPr>
                <w:ilvl w:val="0"/>
                <w:numId w:val="4"/>
              </w:numPr>
            </w:pPr>
            <w:r>
              <w:t>IHS has some</w:t>
            </w:r>
            <w:r w:rsidR="006929C4">
              <w:t xml:space="preserve"> targeted</w:t>
            </w:r>
            <w:r>
              <w:t xml:space="preserve"> investments in Public Health including maintaining support for Tribal Epidemiology Centers, Substance Abuse and Suicide Prevention (SASP) funding for 175 projects for total of $32M; Domestic Violence Prevention Programs funding 83 projects for $11M; Special Diabetes Program for Indians funding 301 I/T/U grantees at $150M/year. </w:t>
            </w:r>
          </w:p>
          <w:p w14:paraId="4A24473A" w14:textId="037CECE1" w:rsidR="00303DBE" w:rsidRDefault="00303DBE" w:rsidP="00303DBE">
            <w:pPr>
              <w:pStyle w:val="ListParagraph"/>
              <w:numPr>
                <w:ilvl w:val="0"/>
                <w:numId w:val="4"/>
              </w:numPr>
            </w:pPr>
            <w:r>
              <w:t>FY 2019 President’s budget proposed to eliminate several public health programs including, health education, community health representatives. FY 19 proposed decreases would be decreased by $69M from the 2018 funding level of $158M</w:t>
            </w:r>
            <w:r w:rsidR="006929C4">
              <w:t>.</w:t>
            </w:r>
          </w:p>
          <w:p w14:paraId="59EA40EF" w14:textId="5E597BFF" w:rsidR="00E30BD9" w:rsidRDefault="00E30BD9" w:rsidP="00303DBE">
            <w:pPr>
              <w:pStyle w:val="ListParagraph"/>
              <w:numPr>
                <w:ilvl w:val="0"/>
                <w:numId w:val="4"/>
              </w:numPr>
            </w:pPr>
            <w:r>
              <w:t>Summary of CDC Support for Public Health in Indian Country.</w:t>
            </w:r>
          </w:p>
          <w:p w14:paraId="12DF484B" w14:textId="27F6AFCD" w:rsidR="009D7795" w:rsidRDefault="00E30BD9" w:rsidP="009D7795">
            <w:r>
              <w:t>Centers for Disease Control and Prevention (CDC) Tribal Advisory Committee: Priorities</w:t>
            </w:r>
          </w:p>
          <w:p w14:paraId="64AE83B5" w14:textId="1D84A3D2" w:rsidR="001178CD" w:rsidRPr="00E30BD9" w:rsidRDefault="00E30BD9" w:rsidP="00E30BD9">
            <w:pPr>
              <w:numPr>
                <w:ilvl w:val="0"/>
                <w:numId w:val="7"/>
              </w:numPr>
            </w:pPr>
            <w:r>
              <w:t>De</w:t>
            </w:r>
            <w:r w:rsidR="00B2520D" w:rsidRPr="00E30BD9">
              <w:t xml:space="preserve">velop a policy for </w:t>
            </w:r>
            <w:r>
              <w:t>CDC</w:t>
            </w:r>
            <w:r w:rsidR="00B2520D" w:rsidRPr="00E30BD9">
              <w:t xml:space="preserve"> to engage with Tribes during the agency’s budget formulation process</w:t>
            </w:r>
          </w:p>
          <w:p w14:paraId="15FFB131" w14:textId="70D04ECA" w:rsidR="001178CD" w:rsidRPr="00E30BD9" w:rsidRDefault="00E30BD9" w:rsidP="00E30BD9">
            <w:pPr>
              <w:numPr>
                <w:ilvl w:val="0"/>
                <w:numId w:val="7"/>
              </w:numPr>
            </w:pPr>
            <w:r>
              <w:t xml:space="preserve">Direct </w:t>
            </w:r>
            <w:r w:rsidR="00B2520D" w:rsidRPr="00E30BD9">
              <w:t>fund</w:t>
            </w:r>
            <w:r>
              <w:t>ing via set aside for</w:t>
            </w:r>
            <w:r w:rsidR="00B2520D" w:rsidRPr="00E30BD9">
              <w:t xml:space="preserve"> Tribal public health</w:t>
            </w:r>
          </w:p>
          <w:p w14:paraId="0D3D50A3" w14:textId="723D34C5" w:rsidR="001178CD" w:rsidRPr="00E30BD9" w:rsidRDefault="00E30BD9" w:rsidP="00E30BD9">
            <w:pPr>
              <w:numPr>
                <w:ilvl w:val="0"/>
                <w:numId w:val="7"/>
              </w:numPr>
            </w:pPr>
            <w:r>
              <w:t>I</w:t>
            </w:r>
            <w:r w:rsidR="00B2520D" w:rsidRPr="00E30BD9">
              <w:t>nclude Indian Tribes and Tribal organizations as eligible entities for direct funding in all FOAs</w:t>
            </w:r>
          </w:p>
          <w:p w14:paraId="044B3AA9" w14:textId="161E1707" w:rsidR="001178CD" w:rsidRPr="00E30BD9" w:rsidRDefault="00E30BD9" w:rsidP="00E30BD9">
            <w:pPr>
              <w:numPr>
                <w:ilvl w:val="0"/>
                <w:numId w:val="7"/>
              </w:numPr>
            </w:pPr>
            <w:r>
              <w:t>Re</w:t>
            </w:r>
            <w:r w:rsidR="00B2520D" w:rsidRPr="00E30BD9">
              <w:t xml:space="preserve">quire that states receiving CDC funds actively engage with Indian Tribe(s) within their state </w:t>
            </w:r>
          </w:p>
          <w:p w14:paraId="551616C5" w14:textId="7D4371B8" w:rsidR="001178CD" w:rsidRDefault="00E30BD9" w:rsidP="00E30BD9">
            <w:pPr>
              <w:numPr>
                <w:ilvl w:val="0"/>
                <w:numId w:val="7"/>
              </w:numPr>
            </w:pPr>
            <w:r>
              <w:t>A</w:t>
            </w:r>
            <w:r w:rsidR="00B2520D" w:rsidRPr="00E30BD9">
              <w:t>cknowledge the value and applicability of cultural and traditional practices as viable grantee activities</w:t>
            </w:r>
            <w:r>
              <w:t>.</w:t>
            </w:r>
          </w:p>
          <w:p w14:paraId="0B7C2BB7" w14:textId="0BA0AB7C" w:rsidR="00C92AB7" w:rsidRDefault="00E30BD9" w:rsidP="00C92AB7">
            <w:r>
              <w:t xml:space="preserve">Tribal Public Health Initiatives </w:t>
            </w:r>
            <w:r w:rsidR="00C92AB7">
              <w:t>with</w:t>
            </w:r>
            <w:r>
              <w:t>in the CDC:</w:t>
            </w:r>
            <w:r w:rsidR="00C92AB7">
              <w:t xml:space="preserve"> Partnering with Tribal Nations and Tribal Epidemiology Centers help make sure what CDC is doing is making a difference.</w:t>
            </w:r>
          </w:p>
          <w:p w14:paraId="29DD7E9C" w14:textId="7C8892CC" w:rsidR="00C92AB7" w:rsidRDefault="00C92AB7" w:rsidP="00C92AB7">
            <w:pPr>
              <w:pStyle w:val="ListParagraph"/>
              <w:numPr>
                <w:ilvl w:val="0"/>
                <w:numId w:val="8"/>
              </w:numPr>
            </w:pPr>
            <w:r>
              <w:t>Good Health and Wellness in Indian Country (GHWIC)- 5</w:t>
            </w:r>
            <w:r w:rsidR="00562A45">
              <w:t>-</w:t>
            </w:r>
            <w:r>
              <w:t xml:space="preserve">year funding opportunity funding 35 grantees at $79M.  </w:t>
            </w:r>
          </w:p>
          <w:p w14:paraId="7FB5B910" w14:textId="293B0DC8" w:rsidR="00C92AB7" w:rsidRDefault="00C92AB7" w:rsidP="00C92AB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Tribal Practices to Promote Wellness (New and awardees will be released April 30, 2018)</w:t>
            </w:r>
            <w:r w:rsidR="00562A45">
              <w:t xml:space="preserve"> 3-year Cooperative Agreement funding 21 Tribal Nations/Tribal Organizations and 15 Urban Indian Organizations at approximately $5M per year.</w:t>
            </w:r>
          </w:p>
          <w:p w14:paraId="0BBEF0CD" w14:textId="018E2772" w:rsidR="00C92AB7" w:rsidRPr="00E30BD9" w:rsidRDefault="00C92AB7" w:rsidP="00C92AB7">
            <w:pPr>
              <w:pStyle w:val="ListParagraph"/>
              <w:numPr>
                <w:ilvl w:val="0"/>
                <w:numId w:val="8"/>
              </w:numPr>
            </w:pPr>
            <w:r>
              <w:t xml:space="preserve">Tribal Epidemiology Center Public Health Infrastructure (TECPHI): </w:t>
            </w:r>
            <w:r w:rsidR="00562A45">
              <w:t>5-year</w:t>
            </w:r>
            <w:r>
              <w:t xml:space="preserve"> funding opportunity for 12 TECs</w:t>
            </w:r>
            <w:r w:rsidR="00562A45">
              <w:t xml:space="preserve"> and 1 Coordinating Center</w:t>
            </w:r>
            <w:r>
              <w:t xml:space="preserve"> at $8.5M per year.</w:t>
            </w:r>
          </w:p>
          <w:p w14:paraId="38B77BA7" w14:textId="6AAC5492" w:rsidR="00E30BD9" w:rsidRDefault="00562A45" w:rsidP="00562A45">
            <w:pPr>
              <w:pStyle w:val="ListParagraph"/>
              <w:numPr>
                <w:ilvl w:val="0"/>
                <w:numId w:val="8"/>
              </w:numPr>
            </w:pPr>
            <w:r>
              <w:t xml:space="preserve">Tribal Umbrella Agreement (NEW) </w:t>
            </w:r>
            <w:r w:rsidR="006929C4">
              <w:t>5-year</w:t>
            </w:r>
            <w:r>
              <w:t xml:space="preserve"> funding mechanism.  Small funding amounts that will eventually have opportunity to submit for Funding Priority 2 that will come in future years. </w:t>
            </w:r>
          </w:p>
          <w:p w14:paraId="6C6003A7" w14:textId="3A7904EB" w:rsidR="009D7795" w:rsidRDefault="009D7795" w:rsidP="009D7795"/>
          <w:p w14:paraId="4FBE90E6" w14:textId="5F506632" w:rsidR="009D7795" w:rsidRDefault="009D7795" w:rsidP="009D7795">
            <w:r>
              <w:t>Opportunities</w:t>
            </w:r>
            <w:r w:rsidR="006929C4">
              <w:t>/Challenges</w:t>
            </w:r>
            <w:r>
              <w:t xml:space="preserve"> in Public Health:</w:t>
            </w:r>
          </w:p>
          <w:p w14:paraId="6DF20D8E" w14:textId="39C71AD7" w:rsidR="009D7795" w:rsidRDefault="009D7795" w:rsidP="009D7795">
            <w:pPr>
              <w:pStyle w:val="ListParagraph"/>
              <w:numPr>
                <w:ilvl w:val="0"/>
                <w:numId w:val="2"/>
              </w:numPr>
            </w:pPr>
            <w:r>
              <w:t xml:space="preserve">Resources- Many Tribal and non-Tribal examples out there. No need to recreate the wheel. </w:t>
            </w:r>
          </w:p>
          <w:p w14:paraId="6E6ED139" w14:textId="5A1C783A" w:rsidR="009D7795" w:rsidRDefault="009D7795" w:rsidP="009D7795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 Base- Opportunity to evaluate and education health delivery system and community. The more informed people are the more likely they will stay engaged. </w:t>
            </w:r>
          </w:p>
          <w:p w14:paraId="065243F8" w14:textId="1CF4798D" w:rsidR="009D7795" w:rsidRDefault="009D7795" w:rsidP="009D7795">
            <w:pPr>
              <w:pStyle w:val="ListParagraph"/>
              <w:numPr>
                <w:ilvl w:val="0"/>
                <w:numId w:val="2"/>
              </w:numPr>
            </w:pPr>
            <w:r>
              <w:t xml:space="preserve">Leadership Support- Need for maintaining support of leadership and community. </w:t>
            </w:r>
          </w:p>
          <w:p w14:paraId="69E7CCD8" w14:textId="0619CC5D" w:rsidR="009D7795" w:rsidRDefault="009D7795" w:rsidP="009D7795">
            <w:pPr>
              <w:pStyle w:val="ListParagraph"/>
              <w:numPr>
                <w:ilvl w:val="0"/>
                <w:numId w:val="2"/>
              </w:numPr>
            </w:pPr>
            <w:r>
              <w:t>Defining Public Health as a Tribe</w:t>
            </w:r>
            <w:r w:rsidR="006929C4">
              <w:t>- Each Tribe can define this on their own.</w:t>
            </w:r>
          </w:p>
          <w:p w14:paraId="14EE67EC" w14:textId="287DF2BC" w:rsidR="009D7795" w:rsidRDefault="009D7795" w:rsidP="009D7795">
            <w:pPr>
              <w:pStyle w:val="ListParagraph"/>
              <w:numPr>
                <w:ilvl w:val="0"/>
                <w:numId w:val="2"/>
              </w:numPr>
            </w:pPr>
            <w:r>
              <w:t>Inclusion of internal and external Partners- Public health is a big picture issue</w:t>
            </w:r>
            <w:r w:rsidR="006929C4">
              <w:t xml:space="preserve"> and needs to include other non-health partners.</w:t>
            </w:r>
          </w:p>
          <w:p w14:paraId="48F2598A" w14:textId="1A9575A7" w:rsidR="009D7795" w:rsidRDefault="009D7795" w:rsidP="009D7795">
            <w:pPr>
              <w:pStyle w:val="ListParagraph"/>
              <w:numPr>
                <w:ilvl w:val="0"/>
                <w:numId w:val="2"/>
              </w:numPr>
            </w:pPr>
            <w:r>
              <w:t>Educating non-Tribal partners- Awareness of the Tribal Health care delivery systems</w:t>
            </w:r>
          </w:p>
          <w:p w14:paraId="5D399C4B" w14:textId="6B955154" w:rsidR="0031714D" w:rsidRDefault="00562A45" w:rsidP="00366B84">
            <w:pPr>
              <w:pStyle w:val="ListParagraph"/>
              <w:numPr>
                <w:ilvl w:val="0"/>
                <w:numId w:val="2"/>
              </w:numPr>
            </w:pPr>
            <w:r>
              <w:t>How CDC’s funding reach can impact even more Tribal Nations.</w:t>
            </w:r>
          </w:p>
          <w:p w14:paraId="062DCF9A" w14:textId="77777777" w:rsidR="0031714D" w:rsidRDefault="0031714D"/>
        </w:tc>
      </w:tr>
      <w:tr w:rsidR="0031714D" w14:paraId="79657736" w14:textId="77777777" w:rsidTr="00D51679">
        <w:tc>
          <w:tcPr>
            <w:tcW w:w="5000" w:type="pct"/>
            <w:gridSpan w:val="2"/>
          </w:tcPr>
          <w:p w14:paraId="64230AE3" w14:textId="69C0647B" w:rsidR="0031714D" w:rsidRDefault="0072275A">
            <w:r>
              <w:lastRenderedPageBreak/>
              <w:t>Questions from the Audience:</w:t>
            </w:r>
          </w:p>
          <w:p w14:paraId="14DBB7F3" w14:textId="77777777" w:rsidR="006929C4" w:rsidRDefault="006929C4"/>
          <w:p w14:paraId="2F658CE5" w14:textId="11C5D849" w:rsidR="0072275A" w:rsidRDefault="00562A45" w:rsidP="00562A45">
            <w:pPr>
              <w:pStyle w:val="ListParagraph"/>
              <w:numPr>
                <w:ilvl w:val="0"/>
                <w:numId w:val="10"/>
              </w:numPr>
            </w:pPr>
            <w:r>
              <w:t xml:space="preserve">Is there a training opportunity to have a Community Health Representatives? </w:t>
            </w:r>
          </w:p>
          <w:p w14:paraId="61C22B32" w14:textId="68FB5A13" w:rsidR="00ED2DE6" w:rsidRDefault="00562A45" w:rsidP="00ED2DE6">
            <w:pPr>
              <w:pStyle w:val="ListParagraph"/>
              <w:numPr>
                <w:ilvl w:val="0"/>
                <w:numId w:val="10"/>
              </w:numPr>
            </w:pPr>
            <w:r>
              <w:t xml:space="preserve">Are there opportunities for Inter Agency collaborations?  </w:t>
            </w:r>
            <w:r w:rsidR="00ED2DE6">
              <w:t xml:space="preserve">Not a time to be siloed. </w:t>
            </w:r>
            <w:r>
              <w:t>For example, CDC and Environmental Protection Agency</w:t>
            </w:r>
            <w:r w:rsidR="00ED2DE6">
              <w:t xml:space="preserve"> need to work together to address common issues like the impacts of Superfund Sites on Tribal Lands and how it impacts the health status of those communities</w:t>
            </w:r>
            <w:r>
              <w:t>.  How can CDC be intermediary for that?</w:t>
            </w:r>
          </w:p>
          <w:p w14:paraId="772557E3" w14:textId="35A9A5B6" w:rsidR="0031714D" w:rsidRDefault="00ED2DE6" w:rsidP="00EE1A8B">
            <w:pPr>
              <w:pStyle w:val="ListParagraph"/>
              <w:numPr>
                <w:ilvl w:val="0"/>
                <w:numId w:val="10"/>
              </w:numPr>
            </w:pPr>
            <w:r>
              <w:t xml:space="preserve">Small Tribes have limited resources and can’t write for the CDC opportunities.  How can CDC work with small Tribes to access public health funding? Has CDC ever </w:t>
            </w:r>
            <w:proofErr w:type="gramStart"/>
            <w:r>
              <w:t>looked into</w:t>
            </w:r>
            <w:proofErr w:type="gramEnd"/>
            <w:r>
              <w:t xml:space="preserve"> the model that SAMHSA initiated for those smaller Tribes that need grant funding but doesn’t have the administrative resources to write for these large funding opportunities.</w:t>
            </w:r>
          </w:p>
          <w:p w14:paraId="484719F3" w14:textId="02D5DC36" w:rsidR="00ED2DE6" w:rsidRDefault="00ED2DE6" w:rsidP="00EE1A8B">
            <w:pPr>
              <w:pStyle w:val="ListParagraph"/>
              <w:numPr>
                <w:ilvl w:val="0"/>
                <w:numId w:val="10"/>
              </w:numPr>
            </w:pPr>
            <w:r>
              <w:t>Tribal Nations vary in infrastructure. How can our federal partners</w:t>
            </w:r>
            <w:r w:rsidR="006929C4">
              <w:t xml:space="preserve"> assist Tribal Nations with these issues?</w:t>
            </w:r>
          </w:p>
          <w:p w14:paraId="616DA2C9" w14:textId="4C2CA305" w:rsidR="006929C4" w:rsidRDefault="006929C4" w:rsidP="00EE1A8B">
            <w:pPr>
              <w:pStyle w:val="ListParagraph"/>
              <w:numPr>
                <w:ilvl w:val="0"/>
                <w:numId w:val="10"/>
              </w:numPr>
            </w:pPr>
            <w:r>
              <w:t xml:space="preserve">How will the new Leadership at CDC impact the support that CDC has had for Tribal Nations and Organizations in the future?  </w:t>
            </w:r>
          </w:p>
          <w:p w14:paraId="6776C411" w14:textId="77777777" w:rsidR="006929C4" w:rsidRDefault="006929C4" w:rsidP="00E535BA">
            <w:pPr>
              <w:pStyle w:val="ListParagraph"/>
            </w:pPr>
          </w:p>
          <w:p w14:paraId="6EA98BCF" w14:textId="77777777" w:rsidR="0031714D" w:rsidRDefault="0031714D"/>
        </w:tc>
      </w:tr>
      <w:tr w:rsidR="0072275A" w14:paraId="37101B9D" w14:textId="77777777" w:rsidTr="00D51679">
        <w:tc>
          <w:tcPr>
            <w:tcW w:w="5000" w:type="pct"/>
            <w:gridSpan w:val="2"/>
          </w:tcPr>
          <w:p w14:paraId="449B4BED" w14:textId="77777777" w:rsidR="0072275A" w:rsidRDefault="0072275A">
            <w:r>
              <w:t>Follow Materials, Documents, Websites for Reference:</w:t>
            </w:r>
          </w:p>
          <w:p w14:paraId="14BC9FF0" w14:textId="77777777" w:rsidR="0072275A" w:rsidRDefault="0072275A"/>
          <w:p w14:paraId="23506FB0" w14:textId="7594E5DB" w:rsidR="0072275A" w:rsidRDefault="00E30BD9" w:rsidP="00E30BD9">
            <w:pPr>
              <w:pStyle w:val="ListParagraph"/>
              <w:numPr>
                <w:ilvl w:val="0"/>
                <w:numId w:val="5"/>
              </w:numPr>
            </w:pPr>
            <w:r>
              <w:t>3 PowerPoint Presentations</w:t>
            </w:r>
          </w:p>
          <w:p w14:paraId="6C42FBDD" w14:textId="77777777" w:rsidR="00E535BA" w:rsidRDefault="00E535BA" w:rsidP="00E535BA">
            <w:pPr>
              <w:pStyle w:val="ListParagraph"/>
            </w:pPr>
          </w:p>
          <w:p w14:paraId="6711C18C" w14:textId="60C5507C" w:rsidR="00E30BD9" w:rsidRDefault="00E30BD9" w:rsidP="00E30BD9">
            <w:pPr>
              <w:pStyle w:val="ListParagraph"/>
              <w:numPr>
                <w:ilvl w:val="0"/>
                <w:numId w:val="5"/>
              </w:numPr>
            </w:pPr>
            <w:r>
              <w:t xml:space="preserve">Frieden’s A Framework for Public Health Action, The Health Impact Pyramid:  </w:t>
            </w:r>
            <w:hyperlink r:id="rId6" w:history="1">
              <w:r w:rsidRPr="0027723C">
                <w:rPr>
                  <w:rStyle w:val="Hyperlink"/>
                </w:rPr>
                <w:t>http://dhhs.ne.gov/publichealth/Documents/Health%20Impact%20Pyramid.pdf</w:t>
              </w:r>
            </w:hyperlink>
            <w:r>
              <w:t xml:space="preserve"> </w:t>
            </w:r>
          </w:p>
          <w:p w14:paraId="0CAD80FD" w14:textId="77777777" w:rsidR="00E535BA" w:rsidRDefault="00E535BA" w:rsidP="00E535BA">
            <w:pPr>
              <w:pStyle w:val="ListParagraph"/>
            </w:pPr>
          </w:p>
          <w:p w14:paraId="519FCEB4" w14:textId="7D640076" w:rsidR="00E535BA" w:rsidRDefault="00E535BA" w:rsidP="00E30BD9">
            <w:pPr>
              <w:pStyle w:val="ListParagraph"/>
              <w:numPr>
                <w:ilvl w:val="0"/>
                <w:numId w:val="5"/>
              </w:numPr>
            </w:pPr>
            <w:r>
              <w:t xml:space="preserve">NIHB Public Health Summit </w:t>
            </w:r>
          </w:p>
          <w:p w14:paraId="0072BBA9" w14:textId="56B17E6E" w:rsidR="00E535BA" w:rsidRDefault="00660CBA" w:rsidP="00E535BA">
            <w:pPr>
              <w:pStyle w:val="ListParagraph"/>
            </w:pPr>
            <w:hyperlink r:id="rId7" w:history="1">
              <w:r w:rsidR="00E535BA" w:rsidRPr="007D3528">
                <w:rPr>
                  <w:rStyle w:val="Hyperlink"/>
                </w:rPr>
                <w:t>http://www.cvent.com/events/2018-national-tribal-public-health-summit/event-summary-aa505ecade034327994093068dd43bc1.aspx</w:t>
              </w:r>
            </w:hyperlink>
            <w:r w:rsidR="00E535BA">
              <w:t xml:space="preserve"> </w:t>
            </w:r>
          </w:p>
          <w:p w14:paraId="724C2EFB" w14:textId="77777777" w:rsidR="00E535BA" w:rsidRDefault="00E535BA" w:rsidP="00E535BA">
            <w:pPr>
              <w:pStyle w:val="ListParagraph"/>
            </w:pPr>
          </w:p>
          <w:p w14:paraId="59001D11" w14:textId="5EAA9841" w:rsidR="00C92AB7" w:rsidRDefault="00C92AB7" w:rsidP="00E30BD9">
            <w:pPr>
              <w:pStyle w:val="ListParagraph"/>
              <w:numPr>
                <w:ilvl w:val="0"/>
                <w:numId w:val="5"/>
              </w:numPr>
            </w:pPr>
            <w:r>
              <w:t>CDC Tribal Advisory Committee Charge and Membership</w:t>
            </w:r>
          </w:p>
          <w:p w14:paraId="1BC5EEC8" w14:textId="0B8A2516" w:rsidR="00C92AB7" w:rsidRDefault="00660CBA" w:rsidP="00C92AB7">
            <w:pPr>
              <w:pStyle w:val="ListParagraph"/>
            </w:pPr>
            <w:hyperlink r:id="rId8" w:history="1">
              <w:r w:rsidR="00C92AB7" w:rsidRPr="007D3528">
                <w:rPr>
                  <w:rStyle w:val="Hyperlink"/>
                </w:rPr>
                <w:t>www.cdc.gov/tribal/tac/</w:t>
              </w:r>
            </w:hyperlink>
            <w:r w:rsidR="00C92AB7">
              <w:t xml:space="preserve"> </w:t>
            </w:r>
          </w:p>
          <w:p w14:paraId="49799DFE" w14:textId="77777777" w:rsidR="00E535BA" w:rsidRDefault="00E535BA" w:rsidP="00E535BA">
            <w:pPr>
              <w:pStyle w:val="ListParagraph"/>
            </w:pPr>
          </w:p>
          <w:p w14:paraId="1913914E" w14:textId="6FB33809" w:rsidR="00C92AB7" w:rsidRDefault="00C92AB7" w:rsidP="00C92AB7">
            <w:pPr>
              <w:pStyle w:val="ListParagraph"/>
              <w:numPr>
                <w:ilvl w:val="0"/>
                <w:numId w:val="5"/>
              </w:numPr>
            </w:pPr>
            <w:r>
              <w:t>Summary of Good Health and Wellness in Indian Country</w:t>
            </w:r>
          </w:p>
          <w:p w14:paraId="5CA4EEBB" w14:textId="458BF23E" w:rsidR="00C92AB7" w:rsidRDefault="00660CBA" w:rsidP="00C92AB7">
            <w:pPr>
              <w:pStyle w:val="ListParagraph"/>
            </w:pPr>
            <w:hyperlink r:id="rId9" w:history="1">
              <w:r w:rsidR="00C92AB7" w:rsidRPr="007D3528">
                <w:rPr>
                  <w:rStyle w:val="Hyperlink"/>
                </w:rPr>
                <w:t>www.cdc.gov/chronicdisease/resources/publications/aag/indian-country.htm</w:t>
              </w:r>
            </w:hyperlink>
            <w:r w:rsidR="00C92AB7">
              <w:t xml:space="preserve"> </w:t>
            </w:r>
          </w:p>
          <w:p w14:paraId="252D8E2E" w14:textId="77777777" w:rsidR="00E535BA" w:rsidRDefault="00E535BA" w:rsidP="00E535BA">
            <w:pPr>
              <w:pStyle w:val="ListParagraph"/>
            </w:pPr>
          </w:p>
          <w:p w14:paraId="248E043F" w14:textId="59AEE254" w:rsidR="00562A45" w:rsidRDefault="00562A45" w:rsidP="00562A45">
            <w:pPr>
              <w:pStyle w:val="ListParagraph"/>
              <w:numPr>
                <w:ilvl w:val="0"/>
                <w:numId w:val="5"/>
              </w:numPr>
            </w:pPr>
            <w:r>
              <w:t>Summary of TECPHI</w:t>
            </w:r>
          </w:p>
          <w:p w14:paraId="24D90659" w14:textId="410184A0" w:rsidR="00562A45" w:rsidRDefault="00660CBA" w:rsidP="00562A45">
            <w:pPr>
              <w:pStyle w:val="ListParagraph"/>
            </w:pPr>
            <w:hyperlink r:id="rId10" w:history="1">
              <w:r w:rsidR="00562A45" w:rsidRPr="007D3528">
                <w:rPr>
                  <w:rStyle w:val="Hyperlink"/>
                </w:rPr>
                <w:t>www.cdc.gov/chronicdisease/tribal/tecphi.htm</w:t>
              </w:r>
            </w:hyperlink>
            <w:r w:rsidR="00562A45">
              <w:t xml:space="preserve"> </w:t>
            </w:r>
          </w:p>
          <w:p w14:paraId="5FD980F0" w14:textId="5DC9BF3D" w:rsidR="0072275A" w:rsidRDefault="0072275A" w:rsidP="00E535BA"/>
          <w:p w14:paraId="1FBA6F76" w14:textId="28EB0C5C" w:rsidR="00E535BA" w:rsidRDefault="00E535BA" w:rsidP="00E535BA">
            <w:pPr>
              <w:pStyle w:val="ListParagraph"/>
              <w:numPr>
                <w:ilvl w:val="0"/>
                <w:numId w:val="5"/>
              </w:numPr>
            </w:pPr>
            <w:r>
              <w:t>National Tribal Epidemiology Centers</w:t>
            </w:r>
          </w:p>
          <w:p w14:paraId="3656B2A4" w14:textId="27F6CC88" w:rsidR="0072275A" w:rsidRDefault="00660CBA" w:rsidP="00E535BA">
            <w:pPr>
              <w:pStyle w:val="ListParagraph"/>
            </w:pPr>
            <w:hyperlink r:id="rId11" w:history="1">
              <w:r w:rsidR="00E535BA" w:rsidRPr="007D3528">
                <w:rPr>
                  <w:rStyle w:val="Hyperlink"/>
                </w:rPr>
                <w:t>https://tribalepicenters.org/</w:t>
              </w:r>
            </w:hyperlink>
            <w:r w:rsidR="00E535BA">
              <w:t xml:space="preserve"> </w:t>
            </w:r>
          </w:p>
        </w:tc>
      </w:tr>
    </w:tbl>
    <w:p w14:paraId="00002E4E" w14:textId="77777777" w:rsidR="00737E79" w:rsidRDefault="00737E79"/>
    <w:sectPr w:rsidR="00737E79" w:rsidSect="0031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2EC"/>
    <w:multiLevelType w:val="hybridMultilevel"/>
    <w:tmpl w:val="9AC6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4A7"/>
    <w:multiLevelType w:val="hybridMultilevel"/>
    <w:tmpl w:val="0F36E6D4"/>
    <w:lvl w:ilvl="0" w:tplc="18AA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63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E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A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2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5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8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11C2C"/>
    <w:multiLevelType w:val="hybridMultilevel"/>
    <w:tmpl w:val="9CA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3ED3"/>
    <w:multiLevelType w:val="hybridMultilevel"/>
    <w:tmpl w:val="B02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63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E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A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2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5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8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A53561"/>
    <w:multiLevelType w:val="hybridMultilevel"/>
    <w:tmpl w:val="B31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73EB4"/>
    <w:multiLevelType w:val="hybridMultilevel"/>
    <w:tmpl w:val="3A0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F48E9"/>
    <w:multiLevelType w:val="hybridMultilevel"/>
    <w:tmpl w:val="D0E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5F62"/>
    <w:multiLevelType w:val="hybridMultilevel"/>
    <w:tmpl w:val="FF64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2E50"/>
    <w:multiLevelType w:val="hybridMultilevel"/>
    <w:tmpl w:val="E17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C1E93"/>
    <w:multiLevelType w:val="hybridMultilevel"/>
    <w:tmpl w:val="255A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2BCC"/>
    <w:multiLevelType w:val="hybridMultilevel"/>
    <w:tmpl w:val="CF8EF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79"/>
    <w:rsid w:val="000053B1"/>
    <w:rsid w:val="00006090"/>
    <w:rsid w:val="00010AF5"/>
    <w:rsid w:val="00022771"/>
    <w:rsid w:val="000604AC"/>
    <w:rsid w:val="00066A49"/>
    <w:rsid w:val="000671AD"/>
    <w:rsid w:val="00067493"/>
    <w:rsid w:val="000839EA"/>
    <w:rsid w:val="000857D1"/>
    <w:rsid w:val="000872D4"/>
    <w:rsid w:val="000A103D"/>
    <w:rsid w:val="000A2AE5"/>
    <w:rsid w:val="000A7218"/>
    <w:rsid w:val="000A777B"/>
    <w:rsid w:val="000B2EF2"/>
    <w:rsid w:val="000B3CF7"/>
    <w:rsid w:val="000B6AE2"/>
    <w:rsid w:val="000C4AD7"/>
    <w:rsid w:val="000D4CDC"/>
    <w:rsid w:val="000D7C88"/>
    <w:rsid w:val="000E18C2"/>
    <w:rsid w:val="000E1FAE"/>
    <w:rsid w:val="000E23BE"/>
    <w:rsid w:val="000E469E"/>
    <w:rsid w:val="000E6258"/>
    <w:rsid w:val="000F17E1"/>
    <w:rsid w:val="00105DAC"/>
    <w:rsid w:val="00114C80"/>
    <w:rsid w:val="00115314"/>
    <w:rsid w:val="001178CD"/>
    <w:rsid w:val="00120CB6"/>
    <w:rsid w:val="00121713"/>
    <w:rsid w:val="0013221C"/>
    <w:rsid w:val="00134C72"/>
    <w:rsid w:val="00135918"/>
    <w:rsid w:val="00135A85"/>
    <w:rsid w:val="00142F83"/>
    <w:rsid w:val="00143786"/>
    <w:rsid w:val="00150190"/>
    <w:rsid w:val="00162FE2"/>
    <w:rsid w:val="00163A28"/>
    <w:rsid w:val="00170CE7"/>
    <w:rsid w:val="0017124B"/>
    <w:rsid w:val="00174B38"/>
    <w:rsid w:val="00182018"/>
    <w:rsid w:val="00182D3F"/>
    <w:rsid w:val="00186F8F"/>
    <w:rsid w:val="001911B4"/>
    <w:rsid w:val="0019587B"/>
    <w:rsid w:val="001A10AD"/>
    <w:rsid w:val="001A3216"/>
    <w:rsid w:val="001A6BBD"/>
    <w:rsid w:val="001B11BF"/>
    <w:rsid w:val="001B4524"/>
    <w:rsid w:val="001B6040"/>
    <w:rsid w:val="001C0528"/>
    <w:rsid w:val="001C5271"/>
    <w:rsid w:val="001D6BE9"/>
    <w:rsid w:val="001E5F73"/>
    <w:rsid w:val="001E72EB"/>
    <w:rsid w:val="001F0A24"/>
    <w:rsid w:val="001F37A8"/>
    <w:rsid w:val="001F43A7"/>
    <w:rsid w:val="00207BD1"/>
    <w:rsid w:val="00211512"/>
    <w:rsid w:val="00214645"/>
    <w:rsid w:val="00214A63"/>
    <w:rsid w:val="00226078"/>
    <w:rsid w:val="00230058"/>
    <w:rsid w:val="0023183B"/>
    <w:rsid w:val="00231C58"/>
    <w:rsid w:val="00232765"/>
    <w:rsid w:val="00236B63"/>
    <w:rsid w:val="00242674"/>
    <w:rsid w:val="0025565F"/>
    <w:rsid w:val="00257763"/>
    <w:rsid w:val="0026311A"/>
    <w:rsid w:val="0026608E"/>
    <w:rsid w:val="00281EFA"/>
    <w:rsid w:val="00286C37"/>
    <w:rsid w:val="0029216A"/>
    <w:rsid w:val="00293550"/>
    <w:rsid w:val="00293B13"/>
    <w:rsid w:val="002A033D"/>
    <w:rsid w:val="002B5014"/>
    <w:rsid w:val="002D6469"/>
    <w:rsid w:val="002D697B"/>
    <w:rsid w:val="002E42F3"/>
    <w:rsid w:val="002E5F86"/>
    <w:rsid w:val="002F41DE"/>
    <w:rsid w:val="00300166"/>
    <w:rsid w:val="00302609"/>
    <w:rsid w:val="00303DBE"/>
    <w:rsid w:val="00306A65"/>
    <w:rsid w:val="00312FEC"/>
    <w:rsid w:val="0031595B"/>
    <w:rsid w:val="00316EB9"/>
    <w:rsid w:val="0031714D"/>
    <w:rsid w:val="0032036F"/>
    <w:rsid w:val="00321DB4"/>
    <w:rsid w:val="00325ADF"/>
    <w:rsid w:val="0033300B"/>
    <w:rsid w:val="003423A9"/>
    <w:rsid w:val="00346E2D"/>
    <w:rsid w:val="00346E59"/>
    <w:rsid w:val="00347FCD"/>
    <w:rsid w:val="0035031C"/>
    <w:rsid w:val="0035434E"/>
    <w:rsid w:val="00354ADF"/>
    <w:rsid w:val="00355D44"/>
    <w:rsid w:val="00365C3A"/>
    <w:rsid w:val="003853F9"/>
    <w:rsid w:val="00385ED2"/>
    <w:rsid w:val="00386221"/>
    <w:rsid w:val="00391567"/>
    <w:rsid w:val="0039222B"/>
    <w:rsid w:val="00393B91"/>
    <w:rsid w:val="00394AE2"/>
    <w:rsid w:val="003A3D97"/>
    <w:rsid w:val="003A62D9"/>
    <w:rsid w:val="003B4662"/>
    <w:rsid w:val="003C4639"/>
    <w:rsid w:val="003D4105"/>
    <w:rsid w:val="003D6453"/>
    <w:rsid w:val="003D7659"/>
    <w:rsid w:val="003E1B8C"/>
    <w:rsid w:val="003F72E7"/>
    <w:rsid w:val="00412791"/>
    <w:rsid w:val="00426DF5"/>
    <w:rsid w:val="00444509"/>
    <w:rsid w:val="00444AA8"/>
    <w:rsid w:val="00446102"/>
    <w:rsid w:val="00446EB9"/>
    <w:rsid w:val="00451583"/>
    <w:rsid w:val="0045706D"/>
    <w:rsid w:val="00460B27"/>
    <w:rsid w:val="004620D4"/>
    <w:rsid w:val="004750D4"/>
    <w:rsid w:val="004801F1"/>
    <w:rsid w:val="00484D94"/>
    <w:rsid w:val="0048784C"/>
    <w:rsid w:val="00493E00"/>
    <w:rsid w:val="004978D0"/>
    <w:rsid w:val="004B6109"/>
    <w:rsid w:val="004B68B5"/>
    <w:rsid w:val="004C08C9"/>
    <w:rsid w:val="004D291F"/>
    <w:rsid w:val="004D4448"/>
    <w:rsid w:val="004E1495"/>
    <w:rsid w:val="004E4360"/>
    <w:rsid w:val="004E7960"/>
    <w:rsid w:val="00505205"/>
    <w:rsid w:val="00510807"/>
    <w:rsid w:val="00512C1D"/>
    <w:rsid w:val="00513953"/>
    <w:rsid w:val="00514A5A"/>
    <w:rsid w:val="005270F7"/>
    <w:rsid w:val="00550443"/>
    <w:rsid w:val="0055045D"/>
    <w:rsid w:val="00550FA2"/>
    <w:rsid w:val="005521F6"/>
    <w:rsid w:val="00555ECB"/>
    <w:rsid w:val="00560313"/>
    <w:rsid w:val="00562A45"/>
    <w:rsid w:val="005630F0"/>
    <w:rsid w:val="00563CA4"/>
    <w:rsid w:val="005700C7"/>
    <w:rsid w:val="00571CEF"/>
    <w:rsid w:val="00573AB5"/>
    <w:rsid w:val="005774A1"/>
    <w:rsid w:val="00580B65"/>
    <w:rsid w:val="00583137"/>
    <w:rsid w:val="00584BBB"/>
    <w:rsid w:val="00586F37"/>
    <w:rsid w:val="00591C11"/>
    <w:rsid w:val="0059796A"/>
    <w:rsid w:val="005A3261"/>
    <w:rsid w:val="005A3D7E"/>
    <w:rsid w:val="005A7948"/>
    <w:rsid w:val="005B0797"/>
    <w:rsid w:val="005B3EA4"/>
    <w:rsid w:val="005B45E3"/>
    <w:rsid w:val="005B6A64"/>
    <w:rsid w:val="005C1FAB"/>
    <w:rsid w:val="005E1E1A"/>
    <w:rsid w:val="005E620E"/>
    <w:rsid w:val="005F484C"/>
    <w:rsid w:val="005F6F95"/>
    <w:rsid w:val="00604127"/>
    <w:rsid w:val="00604297"/>
    <w:rsid w:val="00614883"/>
    <w:rsid w:val="00631FAB"/>
    <w:rsid w:val="00633B5F"/>
    <w:rsid w:val="00635E6E"/>
    <w:rsid w:val="00641191"/>
    <w:rsid w:val="00650332"/>
    <w:rsid w:val="00654A57"/>
    <w:rsid w:val="00660CBA"/>
    <w:rsid w:val="00667F94"/>
    <w:rsid w:val="006703DB"/>
    <w:rsid w:val="0068648F"/>
    <w:rsid w:val="00690B5F"/>
    <w:rsid w:val="00691A8A"/>
    <w:rsid w:val="006929C4"/>
    <w:rsid w:val="006D1116"/>
    <w:rsid w:val="006E0A55"/>
    <w:rsid w:val="006F3641"/>
    <w:rsid w:val="006F7360"/>
    <w:rsid w:val="00706C59"/>
    <w:rsid w:val="00711D1A"/>
    <w:rsid w:val="0072275A"/>
    <w:rsid w:val="00727C4D"/>
    <w:rsid w:val="00732B6F"/>
    <w:rsid w:val="00734BC7"/>
    <w:rsid w:val="00736C7B"/>
    <w:rsid w:val="00737869"/>
    <w:rsid w:val="00737E79"/>
    <w:rsid w:val="00741F5C"/>
    <w:rsid w:val="00745866"/>
    <w:rsid w:val="00752613"/>
    <w:rsid w:val="00757F6B"/>
    <w:rsid w:val="00760789"/>
    <w:rsid w:val="007771FC"/>
    <w:rsid w:val="00781581"/>
    <w:rsid w:val="00783290"/>
    <w:rsid w:val="007859FD"/>
    <w:rsid w:val="00790E17"/>
    <w:rsid w:val="00791274"/>
    <w:rsid w:val="00793940"/>
    <w:rsid w:val="007A312D"/>
    <w:rsid w:val="007A779D"/>
    <w:rsid w:val="007B0D2F"/>
    <w:rsid w:val="007B1737"/>
    <w:rsid w:val="007E27A9"/>
    <w:rsid w:val="007E7630"/>
    <w:rsid w:val="007F4AF6"/>
    <w:rsid w:val="007F79AF"/>
    <w:rsid w:val="00802BD8"/>
    <w:rsid w:val="00804F86"/>
    <w:rsid w:val="00816771"/>
    <w:rsid w:val="00816E79"/>
    <w:rsid w:val="00822D17"/>
    <w:rsid w:val="00831A74"/>
    <w:rsid w:val="00833A82"/>
    <w:rsid w:val="00841502"/>
    <w:rsid w:val="00842D57"/>
    <w:rsid w:val="008476E0"/>
    <w:rsid w:val="00850679"/>
    <w:rsid w:val="0085272C"/>
    <w:rsid w:val="0085284B"/>
    <w:rsid w:val="0087697D"/>
    <w:rsid w:val="00877A83"/>
    <w:rsid w:val="008827D9"/>
    <w:rsid w:val="00893126"/>
    <w:rsid w:val="00896BAD"/>
    <w:rsid w:val="00896F83"/>
    <w:rsid w:val="008A4890"/>
    <w:rsid w:val="008A7DC8"/>
    <w:rsid w:val="008B25DE"/>
    <w:rsid w:val="008C4C29"/>
    <w:rsid w:val="008C655B"/>
    <w:rsid w:val="008D2A82"/>
    <w:rsid w:val="008D3641"/>
    <w:rsid w:val="008E4B64"/>
    <w:rsid w:val="008F5E77"/>
    <w:rsid w:val="009044DE"/>
    <w:rsid w:val="00906167"/>
    <w:rsid w:val="009268D8"/>
    <w:rsid w:val="00931AA1"/>
    <w:rsid w:val="00935C96"/>
    <w:rsid w:val="00953B23"/>
    <w:rsid w:val="00960A25"/>
    <w:rsid w:val="009611A0"/>
    <w:rsid w:val="0096516A"/>
    <w:rsid w:val="00972E5E"/>
    <w:rsid w:val="00982173"/>
    <w:rsid w:val="009857ED"/>
    <w:rsid w:val="009873CD"/>
    <w:rsid w:val="00991D58"/>
    <w:rsid w:val="009929CF"/>
    <w:rsid w:val="00997B87"/>
    <w:rsid w:val="009B6B4E"/>
    <w:rsid w:val="009D28B7"/>
    <w:rsid w:val="009D4569"/>
    <w:rsid w:val="009D4B81"/>
    <w:rsid w:val="009D7795"/>
    <w:rsid w:val="009F5071"/>
    <w:rsid w:val="009F5AB0"/>
    <w:rsid w:val="00A003F7"/>
    <w:rsid w:val="00A00BBF"/>
    <w:rsid w:val="00A00D7A"/>
    <w:rsid w:val="00A05D32"/>
    <w:rsid w:val="00A11C87"/>
    <w:rsid w:val="00A20097"/>
    <w:rsid w:val="00A22FB1"/>
    <w:rsid w:val="00A269AB"/>
    <w:rsid w:val="00A3523A"/>
    <w:rsid w:val="00A44AC9"/>
    <w:rsid w:val="00A46162"/>
    <w:rsid w:val="00A5440A"/>
    <w:rsid w:val="00A546B2"/>
    <w:rsid w:val="00A57311"/>
    <w:rsid w:val="00A67F50"/>
    <w:rsid w:val="00A81967"/>
    <w:rsid w:val="00A854E7"/>
    <w:rsid w:val="00A9709B"/>
    <w:rsid w:val="00AB0836"/>
    <w:rsid w:val="00AB29D5"/>
    <w:rsid w:val="00AC2D55"/>
    <w:rsid w:val="00AC4145"/>
    <w:rsid w:val="00AC7702"/>
    <w:rsid w:val="00AD0FCD"/>
    <w:rsid w:val="00AD276D"/>
    <w:rsid w:val="00AD4160"/>
    <w:rsid w:val="00AE1AF0"/>
    <w:rsid w:val="00AE40D6"/>
    <w:rsid w:val="00AF0658"/>
    <w:rsid w:val="00AF59C6"/>
    <w:rsid w:val="00AF67A6"/>
    <w:rsid w:val="00B0789C"/>
    <w:rsid w:val="00B1304C"/>
    <w:rsid w:val="00B2520D"/>
    <w:rsid w:val="00B52555"/>
    <w:rsid w:val="00B60A0F"/>
    <w:rsid w:val="00B633A3"/>
    <w:rsid w:val="00B65E5D"/>
    <w:rsid w:val="00B9504E"/>
    <w:rsid w:val="00B97DCF"/>
    <w:rsid w:val="00BA45DC"/>
    <w:rsid w:val="00BA7E4F"/>
    <w:rsid w:val="00BD3CC7"/>
    <w:rsid w:val="00BD5F01"/>
    <w:rsid w:val="00BE1340"/>
    <w:rsid w:val="00BE2152"/>
    <w:rsid w:val="00BE4A52"/>
    <w:rsid w:val="00BF3482"/>
    <w:rsid w:val="00BF4FE0"/>
    <w:rsid w:val="00C12606"/>
    <w:rsid w:val="00C17388"/>
    <w:rsid w:val="00C23179"/>
    <w:rsid w:val="00C32117"/>
    <w:rsid w:val="00C40099"/>
    <w:rsid w:val="00C405F1"/>
    <w:rsid w:val="00C44BA7"/>
    <w:rsid w:val="00C47D31"/>
    <w:rsid w:val="00C50DF5"/>
    <w:rsid w:val="00C55EFA"/>
    <w:rsid w:val="00C575F1"/>
    <w:rsid w:val="00C57675"/>
    <w:rsid w:val="00C64868"/>
    <w:rsid w:val="00C904FA"/>
    <w:rsid w:val="00C92AB7"/>
    <w:rsid w:val="00C97392"/>
    <w:rsid w:val="00CA0F58"/>
    <w:rsid w:val="00CA1A48"/>
    <w:rsid w:val="00CB419B"/>
    <w:rsid w:val="00CC0918"/>
    <w:rsid w:val="00CC5C6A"/>
    <w:rsid w:val="00CC6E88"/>
    <w:rsid w:val="00CD3A87"/>
    <w:rsid w:val="00CD4095"/>
    <w:rsid w:val="00CE18C7"/>
    <w:rsid w:val="00D0294D"/>
    <w:rsid w:val="00D14851"/>
    <w:rsid w:val="00D21DFD"/>
    <w:rsid w:val="00D25630"/>
    <w:rsid w:val="00D31DB6"/>
    <w:rsid w:val="00D34928"/>
    <w:rsid w:val="00D350FF"/>
    <w:rsid w:val="00D3518A"/>
    <w:rsid w:val="00D366DF"/>
    <w:rsid w:val="00D422DE"/>
    <w:rsid w:val="00D51679"/>
    <w:rsid w:val="00D53AE7"/>
    <w:rsid w:val="00D54D6D"/>
    <w:rsid w:val="00D55B9F"/>
    <w:rsid w:val="00D603C4"/>
    <w:rsid w:val="00D73829"/>
    <w:rsid w:val="00D80D7E"/>
    <w:rsid w:val="00D81F12"/>
    <w:rsid w:val="00D871AE"/>
    <w:rsid w:val="00D87703"/>
    <w:rsid w:val="00D92BF6"/>
    <w:rsid w:val="00DA04B8"/>
    <w:rsid w:val="00DA3C8F"/>
    <w:rsid w:val="00DA67D5"/>
    <w:rsid w:val="00DB0A74"/>
    <w:rsid w:val="00DB153F"/>
    <w:rsid w:val="00DB2847"/>
    <w:rsid w:val="00DB5249"/>
    <w:rsid w:val="00DC1091"/>
    <w:rsid w:val="00DC18D8"/>
    <w:rsid w:val="00DC2919"/>
    <w:rsid w:val="00DC3884"/>
    <w:rsid w:val="00DC4C04"/>
    <w:rsid w:val="00DC6C2A"/>
    <w:rsid w:val="00DD284B"/>
    <w:rsid w:val="00DE1371"/>
    <w:rsid w:val="00DE3B3D"/>
    <w:rsid w:val="00DE4D0E"/>
    <w:rsid w:val="00DF1B1A"/>
    <w:rsid w:val="00DF2E34"/>
    <w:rsid w:val="00DF794F"/>
    <w:rsid w:val="00E03757"/>
    <w:rsid w:val="00E1389B"/>
    <w:rsid w:val="00E13E22"/>
    <w:rsid w:val="00E2005C"/>
    <w:rsid w:val="00E23ECC"/>
    <w:rsid w:val="00E30BD9"/>
    <w:rsid w:val="00E33225"/>
    <w:rsid w:val="00E33E89"/>
    <w:rsid w:val="00E51536"/>
    <w:rsid w:val="00E51F99"/>
    <w:rsid w:val="00E52B1C"/>
    <w:rsid w:val="00E5321C"/>
    <w:rsid w:val="00E535BA"/>
    <w:rsid w:val="00E53D93"/>
    <w:rsid w:val="00E54394"/>
    <w:rsid w:val="00E57C28"/>
    <w:rsid w:val="00E61CF7"/>
    <w:rsid w:val="00E62A79"/>
    <w:rsid w:val="00E62B17"/>
    <w:rsid w:val="00E63117"/>
    <w:rsid w:val="00E64FB9"/>
    <w:rsid w:val="00E6527C"/>
    <w:rsid w:val="00E86F7E"/>
    <w:rsid w:val="00E9619F"/>
    <w:rsid w:val="00E979F3"/>
    <w:rsid w:val="00EA0169"/>
    <w:rsid w:val="00EA129D"/>
    <w:rsid w:val="00EA2100"/>
    <w:rsid w:val="00EA2FB2"/>
    <w:rsid w:val="00EA745C"/>
    <w:rsid w:val="00EB2371"/>
    <w:rsid w:val="00EB337D"/>
    <w:rsid w:val="00EC41D0"/>
    <w:rsid w:val="00EC4B41"/>
    <w:rsid w:val="00EC7EAA"/>
    <w:rsid w:val="00ED056C"/>
    <w:rsid w:val="00ED151D"/>
    <w:rsid w:val="00ED1540"/>
    <w:rsid w:val="00ED2DE6"/>
    <w:rsid w:val="00ED37A6"/>
    <w:rsid w:val="00ED3897"/>
    <w:rsid w:val="00EF1D46"/>
    <w:rsid w:val="00EF2060"/>
    <w:rsid w:val="00EF46B6"/>
    <w:rsid w:val="00F05F68"/>
    <w:rsid w:val="00F0708B"/>
    <w:rsid w:val="00F15736"/>
    <w:rsid w:val="00F3021F"/>
    <w:rsid w:val="00F3051A"/>
    <w:rsid w:val="00F31B1B"/>
    <w:rsid w:val="00F33BB9"/>
    <w:rsid w:val="00F36674"/>
    <w:rsid w:val="00F4490C"/>
    <w:rsid w:val="00F524E5"/>
    <w:rsid w:val="00F56027"/>
    <w:rsid w:val="00F5648C"/>
    <w:rsid w:val="00F62F05"/>
    <w:rsid w:val="00F65460"/>
    <w:rsid w:val="00F714C9"/>
    <w:rsid w:val="00F72799"/>
    <w:rsid w:val="00F73435"/>
    <w:rsid w:val="00F74A68"/>
    <w:rsid w:val="00F768EF"/>
    <w:rsid w:val="00F76DB7"/>
    <w:rsid w:val="00F814D3"/>
    <w:rsid w:val="00F84B8C"/>
    <w:rsid w:val="00F84F2B"/>
    <w:rsid w:val="00F85693"/>
    <w:rsid w:val="00F942C8"/>
    <w:rsid w:val="00FA74D3"/>
    <w:rsid w:val="00FB16BF"/>
    <w:rsid w:val="00FB364B"/>
    <w:rsid w:val="00FB39FD"/>
    <w:rsid w:val="00FB506F"/>
    <w:rsid w:val="00FC721A"/>
    <w:rsid w:val="00FD6BBB"/>
    <w:rsid w:val="00FD7158"/>
    <w:rsid w:val="00FE37F4"/>
    <w:rsid w:val="00FE4A1D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663A"/>
  <w15:docId w15:val="{984510B4-ECDF-4C52-B1C8-53B228C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E79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B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B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tribal/ta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ent.com/events/2018-national-tribal-public-health-summit/event-summary-aa505ecade034327994093068dd43bc1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hs.ne.gov/publichealth/Documents/Health%20Impact%20Pyramid.pdf" TargetMode="External"/><Relationship Id="rId11" Type="http://schemas.openxmlformats.org/officeDocument/2006/relationships/hyperlink" Target="https://tribalepicenters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dc.gov/chronicdisease/tribal/tecph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hronicdisease/resources/publications/aag/indian-count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Kinley</dc:creator>
  <cp:lastModifiedBy>Tihtiyas (Dee) Sabattus</cp:lastModifiedBy>
  <cp:revision>6</cp:revision>
  <dcterms:created xsi:type="dcterms:W3CDTF">2018-04-11T14:08:00Z</dcterms:created>
  <dcterms:modified xsi:type="dcterms:W3CDTF">2018-04-24T18:58:00Z</dcterms:modified>
</cp:coreProperties>
</file>