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F0" w:rsidRDefault="004E46F0" w:rsidP="004E46F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299"/>
        <w:gridCol w:w="475"/>
        <w:gridCol w:w="5146"/>
      </w:tblGrid>
      <w:tr w:rsidR="004E46F0" w:rsidTr="003A6DFB">
        <w:tc>
          <w:tcPr>
            <w:tcW w:w="11592" w:type="dxa"/>
            <w:gridSpan w:val="4"/>
            <w:shd w:val="clear" w:color="auto" w:fill="D9D9D9"/>
          </w:tcPr>
          <w:p w:rsidR="004E46F0" w:rsidRPr="003A6DFB" w:rsidRDefault="004E46F0" w:rsidP="004E46F0">
            <w:pPr>
              <w:rPr>
                <w:rFonts w:ascii="Arial" w:hAnsi="Arial" w:cs="Arial"/>
              </w:rPr>
            </w:pPr>
            <w:r w:rsidRPr="003A6DFB">
              <w:rPr>
                <w:rFonts w:ascii="Arial" w:hAnsi="Arial" w:cs="Arial"/>
                <w:b/>
              </w:rPr>
              <w:t>NAME OF WORKGROUP</w:t>
            </w:r>
            <w:r w:rsidRPr="003A6DFB">
              <w:rPr>
                <w:rFonts w:ascii="Arial" w:hAnsi="Arial" w:cs="Arial"/>
              </w:rPr>
              <w:t xml:space="preserve"> </w:t>
            </w:r>
            <w:r w:rsidRPr="003A6DFB">
              <w:rPr>
                <w:rFonts w:ascii="Arial" w:hAnsi="Arial" w:cs="Arial"/>
                <w:i/>
                <w:sz w:val="20"/>
                <w:szCs w:val="20"/>
              </w:rPr>
              <w:t>(please check which Committee this report will be for)</w:t>
            </w:r>
          </w:p>
        </w:tc>
      </w:tr>
      <w:tr w:rsidR="004E46F0" w:rsidTr="003A6DFB">
        <w:tc>
          <w:tcPr>
            <w:tcW w:w="446" w:type="dxa"/>
            <w:tcBorders>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1"/>
                  <w:enabled/>
                  <w:calcOnExit w:val="0"/>
                  <w:checkBox>
                    <w:sizeAuto/>
                    <w:default w:val="0"/>
                  </w:checkBox>
                </w:ffData>
              </w:fldChar>
            </w:r>
            <w:bookmarkStart w:id="1" w:name="Check1"/>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1"/>
          </w:p>
        </w:tc>
        <w:tc>
          <w:tcPr>
            <w:tcW w:w="5422" w:type="dxa"/>
            <w:tcBorders>
              <w:top w:val="nil"/>
              <w:left w:val="nil"/>
              <w:bottom w:val="nil"/>
              <w:right w:val="nil"/>
            </w:tcBorders>
          </w:tcPr>
          <w:p w:rsidR="004E46F0" w:rsidRPr="003A6DFB" w:rsidRDefault="004E46F0" w:rsidP="004E46F0">
            <w:pPr>
              <w:rPr>
                <w:rFonts w:ascii="Arial" w:hAnsi="Arial" w:cs="Arial"/>
                <w:sz w:val="20"/>
                <w:szCs w:val="20"/>
              </w:rPr>
            </w:pPr>
            <w:r w:rsidRPr="003A6DFB">
              <w:rPr>
                <w:rFonts w:ascii="Arial" w:hAnsi="Arial" w:cs="Arial"/>
                <w:sz w:val="20"/>
                <w:szCs w:val="20"/>
              </w:rPr>
              <w:t>Technical Workgroup</w:t>
            </w:r>
          </w:p>
        </w:tc>
        <w:tc>
          <w:tcPr>
            <w:tcW w:w="476" w:type="dxa"/>
            <w:tcBorders>
              <w:top w:val="nil"/>
              <w:left w:val="nil"/>
              <w:bottom w:val="nil"/>
              <w:right w:val="nil"/>
            </w:tcBorders>
          </w:tcPr>
          <w:p w:rsidR="004E46F0" w:rsidRPr="003A6DFB" w:rsidRDefault="00167182" w:rsidP="004E46F0">
            <w:pPr>
              <w:rPr>
                <w:rFonts w:ascii="Arial" w:hAnsi="Arial" w:cs="Arial"/>
                <w:sz w:val="20"/>
                <w:szCs w:val="20"/>
              </w:rPr>
            </w:pPr>
            <w:r>
              <w:rPr>
                <w:rFonts w:ascii="Arial" w:hAnsi="Arial" w:cs="Arial"/>
                <w:sz w:val="20"/>
                <w:szCs w:val="20"/>
              </w:rPr>
              <w:fldChar w:fldCharType="begin">
                <w:ffData>
                  <w:name w:val="Check6"/>
                  <w:enabled/>
                  <w:calcOnExit w:val="0"/>
                  <w:checkBox>
                    <w:sizeAuto/>
                    <w:default w:val="1"/>
                  </w:checkBox>
                </w:ffData>
              </w:fldChar>
            </w:r>
            <w:bookmarkStart w:id="2" w:name="Check6"/>
            <w:r>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Pr>
                <w:rFonts w:ascii="Arial" w:hAnsi="Arial" w:cs="Arial"/>
                <w:sz w:val="20"/>
                <w:szCs w:val="20"/>
              </w:rPr>
              <w:fldChar w:fldCharType="end"/>
            </w:r>
            <w:bookmarkEnd w:id="2"/>
          </w:p>
        </w:tc>
        <w:tc>
          <w:tcPr>
            <w:tcW w:w="5248" w:type="dxa"/>
            <w:tcBorders>
              <w:top w:val="nil"/>
              <w:left w:val="nil"/>
              <w:bottom w:val="nil"/>
              <w:right w:val="single" w:sz="4" w:space="0" w:color="auto"/>
            </w:tcBorders>
          </w:tcPr>
          <w:p w:rsidR="004E46F0" w:rsidRPr="003A6DFB" w:rsidRDefault="004E46F0" w:rsidP="004E46F0">
            <w:pPr>
              <w:rPr>
                <w:rFonts w:ascii="Arial" w:hAnsi="Arial" w:cs="Arial"/>
                <w:sz w:val="20"/>
                <w:szCs w:val="20"/>
              </w:rPr>
            </w:pPr>
            <w:r w:rsidRPr="003A6DFB">
              <w:rPr>
                <w:rFonts w:ascii="Arial" w:hAnsi="Arial" w:cs="Arial"/>
                <w:sz w:val="20"/>
                <w:szCs w:val="20"/>
              </w:rPr>
              <w:t>Information Systems Advisory Committee</w:t>
            </w:r>
            <w:r w:rsidR="00497137">
              <w:rPr>
                <w:rFonts w:ascii="Arial" w:hAnsi="Arial" w:cs="Arial"/>
                <w:sz w:val="20"/>
                <w:szCs w:val="20"/>
              </w:rPr>
              <w:t xml:space="preserve"> (ISAC)</w:t>
            </w:r>
          </w:p>
        </w:tc>
      </w:tr>
      <w:tr w:rsidR="004E46F0" w:rsidTr="003A6DFB">
        <w:tc>
          <w:tcPr>
            <w:tcW w:w="446" w:type="dxa"/>
            <w:tcBorders>
              <w:top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2"/>
                  <w:enabled/>
                  <w:calcOnExit w:val="0"/>
                  <w:checkBox>
                    <w:sizeAuto/>
                    <w:default w:val="0"/>
                  </w:checkBox>
                </w:ffData>
              </w:fldChar>
            </w:r>
            <w:bookmarkStart w:id="3" w:name="Check2"/>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3"/>
          </w:p>
        </w:tc>
        <w:tc>
          <w:tcPr>
            <w:tcW w:w="5422" w:type="dxa"/>
            <w:tcBorders>
              <w:top w:val="nil"/>
              <w:left w:val="nil"/>
              <w:bottom w:val="nil"/>
              <w:right w:val="nil"/>
            </w:tcBorders>
          </w:tcPr>
          <w:p w:rsidR="004E46F0" w:rsidRPr="003A6DFB" w:rsidRDefault="00497137" w:rsidP="00497137">
            <w:pPr>
              <w:rPr>
                <w:rFonts w:ascii="Arial" w:hAnsi="Arial" w:cs="Arial"/>
                <w:sz w:val="19"/>
                <w:szCs w:val="20"/>
              </w:rPr>
            </w:pPr>
            <w:r>
              <w:rPr>
                <w:rFonts w:ascii="Arial" w:hAnsi="Arial" w:cs="Arial"/>
                <w:sz w:val="19"/>
                <w:szCs w:val="20"/>
              </w:rPr>
              <w:t>HHS Secretary’s Tribal Advisory Committee (STAC)</w:t>
            </w:r>
          </w:p>
        </w:tc>
        <w:tc>
          <w:tcPr>
            <w:tcW w:w="476" w:type="dxa"/>
            <w:tcBorders>
              <w:top w:val="nil"/>
              <w:left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7"/>
                  <w:enabled/>
                  <w:calcOnExit w:val="0"/>
                  <w:checkBox>
                    <w:sizeAuto/>
                    <w:default w:val="0"/>
                  </w:checkBox>
                </w:ffData>
              </w:fldChar>
            </w:r>
            <w:bookmarkStart w:id="4" w:name="Check7"/>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4"/>
          </w:p>
        </w:tc>
        <w:tc>
          <w:tcPr>
            <w:tcW w:w="5248" w:type="dxa"/>
            <w:tcBorders>
              <w:top w:val="nil"/>
              <w:left w:val="nil"/>
              <w:bottom w:val="nil"/>
              <w:right w:val="single" w:sz="4" w:space="0" w:color="auto"/>
            </w:tcBorders>
          </w:tcPr>
          <w:p w:rsidR="004E46F0" w:rsidRPr="003A6DFB" w:rsidRDefault="004E46F0" w:rsidP="004E46F0">
            <w:pPr>
              <w:rPr>
                <w:rFonts w:ascii="Arial" w:hAnsi="Arial" w:cs="Arial"/>
                <w:sz w:val="20"/>
                <w:szCs w:val="20"/>
              </w:rPr>
            </w:pPr>
            <w:r w:rsidRPr="003A6DFB">
              <w:rPr>
                <w:rFonts w:ascii="Arial" w:hAnsi="Arial" w:cs="Arial"/>
                <w:sz w:val="20"/>
                <w:szCs w:val="20"/>
              </w:rPr>
              <w:t xml:space="preserve">Contract Support Costs </w:t>
            </w:r>
            <w:r w:rsidR="00497137">
              <w:rPr>
                <w:rFonts w:ascii="Arial" w:hAnsi="Arial" w:cs="Arial"/>
                <w:sz w:val="20"/>
                <w:szCs w:val="20"/>
              </w:rPr>
              <w:t xml:space="preserve">(CSC) </w:t>
            </w:r>
            <w:r w:rsidRPr="003A6DFB">
              <w:rPr>
                <w:rFonts w:ascii="Arial" w:hAnsi="Arial" w:cs="Arial"/>
                <w:sz w:val="20"/>
                <w:szCs w:val="20"/>
              </w:rPr>
              <w:t>Workgroup</w:t>
            </w:r>
          </w:p>
        </w:tc>
      </w:tr>
      <w:tr w:rsidR="004E46F0" w:rsidTr="003A6DFB">
        <w:tc>
          <w:tcPr>
            <w:tcW w:w="446" w:type="dxa"/>
            <w:tcBorders>
              <w:top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3"/>
                  <w:enabled/>
                  <w:calcOnExit w:val="0"/>
                  <w:checkBox>
                    <w:sizeAuto/>
                    <w:default w:val="0"/>
                  </w:checkBox>
                </w:ffData>
              </w:fldChar>
            </w:r>
            <w:bookmarkStart w:id="5" w:name="Check3"/>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5"/>
          </w:p>
        </w:tc>
        <w:tc>
          <w:tcPr>
            <w:tcW w:w="5422" w:type="dxa"/>
            <w:tcBorders>
              <w:top w:val="nil"/>
              <w:left w:val="nil"/>
              <w:bottom w:val="nil"/>
              <w:right w:val="nil"/>
            </w:tcBorders>
          </w:tcPr>
          <w:p w:rsidR="004E46F0" w:rsidRPr="003A6DFB" w:rsidRDefault="004E46F0" w:rsidP="004E46F0">
            <w:pPr>
              <w:rPr>
                <w:rFonts w:ascii="Arial" w:hAnsi="Arial" w:cs="Arial"/>
                <w:sz w:val="20"/>
                <w:szCs w:val="20"/>
              </w:rPr>
            </w:pPr>
            <w:r w:rsidRPr="003A6DFB">
              <w:rPr>
                <w:rFonts w:ascii="Arial" w:hAnsi="Arial" w:cs="Arial"/>
                <w:sz w:val="20"/>
                <w:szCs w:val="20"/>
              </w:rPr>
              <w:t>Budget Formulation Workgroup</w:t>
            </w:r>
          </w:p>
        </w:tc>
        <w:tc>
          <w:tcPr>
            <w:tcW w:w="476" w:type="dxa"/>
            <w:tcBorders>
              <w:top w:val="nil"/>
              <w:left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8"/>
                  <w:enabled/>
                  <w:calcOnExit w:val="0"/>
                  <w:checkBox>
                    <w:sizeAuto/>
                    <w:default w:val="0"/>
                  </w:checkBox>
                </w:ffData>
              </w:fldChar>
            </w:r>
            <w:bookmarkStart w:id="6" w:name="Check8"/>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6"/>
          </w:p>
        </w:tc>
        <w:tc>
          <w:tcPr>
            <w:tcW w:w="5248" w:type="dxa"/>
            <w:tcBorders>
              <w:top w:val="nil"/>
              <w:left w:val="nil"/>
              <w:bottom w:val="nil"/>
              <w:right w:val="single" w:sz="4" w:space="0" w:color="auto"/>
            </w:tcBorders>
          </w:tcPr>
          <w:p w:rsidR="004E46F0" w:rsidRPr="003A6DFB" w:rsidRDefault="004E46F0" w:rsidP="004E46F0">
            <w:pPr>
              <w:rPr>
                <w:rFonts w:ascii="Arial" w:hAnsi="Arial" w:cs="Arial"/>
                <w:sz w:val="20"/>
                <w:szCs w:val="20"/>
              </w:rPr>
            </w:pPr>
            <w:r w:rsidRPr="003A6DFB">
              <w:rPr>
                <w:rFonts w:ascii="Arial" w:hAnsi="Arial" w:cs="Arial"/>
                <w:sz w:val="20"/>
                <w:szCs w:val="20"/>
              </w:rPr>
              <w:t>Health Promotion/Disease Prevention Policy Group</w:t>
            </w:r>
          </w:p>
        </w:tc>
      </w:tr>
      <w:tr w:rsidR="004E46F0" w:rsidTr="003A6DFB">
        <w:tc>
          <w:tcPr>
            <w:tcW w:w="446" w:type="dxa"/>
            <w:tcBorders>
              <w:top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4"/>
                  <w:enabled/>
                  <w:calcOnExit w:val="0"/>
                  <w:checkBox>
                    <w:sizeAuto/>
                    <w:default w:val="0"/>
                  </w:checkBox>
                </w:ffData>
              </w:fldChar>
            </w:r>
            <w:bookmarkStart w:id="7" w:name="Check4"/>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7"/>
          </w:p>
        </w:tc>
        <w:tc>
          <w:tcPr>
            <w:tcW w:w="5422" w:type="dxa"/>
            <w:tcBorders>
              <w:top w:val="nil"/>
              <w:left w:val="nil"/>
              <w:bottom w:val="nil"/>
              <w:right w:val="nil"/>
            </w:tcBorders>
          </w:tcPr>
          <w:p w:rsidR="004E46F0" w:rsidRPr="003A6DFB" w:rsidRDefault="004E46F0" w:rsidP="004E46F0">
            <w:pPr>
              <w:rPr>
                <w:rFonts w:ascii="Arial" w:hAnsi="Arial" w:cs="Arial"/>
                <w:sz w:val="20"/>
                <w:szCs w:val="20"/>
              </w:rPr>
            </w:pPr>
            <w:r w:rsidRPr="003A6DFB">
              <w:rPr>
                <w:rFonts w:ascii="Arial" w:hAnsi="Arial" w:cs="Arial"/>
                <w:sz w:val="20"/>
                <w:szCs w:val="20"/>
              </w:rPr>
              <w:t>Facilities Appropriation Advisory Board</w:t>
            </w:r>
            <w:r w:rsidR="00497137">
              <w:rPr>
                <w:rFonts w:ascii="Arial" w:hAnsi="Arial" w:cs="Arial"/>
                <w:sz w:val="20"/>
                <w:szCs w:val="20"/>
              </w:rPr>
              <w:t xml:space="preserve"> (FAAB)</w:t>
            </w:r>
          </w:p>
        </w:tc>
        <w:tc>
          <w:tcPr>
            <w:tcW w:w="476" w:type="dxa"/>
            <w:tcBorders>
              <w:top w:val="nil"/>
              <w:left w:val="nil"/>
              <w:bottom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9"/>
                  <w:enabled/>
                  <w:calcOnExit w:val="0"/>
                  <w:checkBox>
                    <w:sizeAuto/>
                    <w:default w:val="0"/>
                  </w:checkBox>
                </w:ffData>
              </w:fldChar>
            </w:r>
            <w:bookmarkStart w:id="8" w:name="Check9"/>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8"/>
          </w:p>
        </w:tc>
        <w:tc>
          <w:tcPr>
            <w:tcW w:w="5248" w:type="dxa"/>
            <w:tcBorders>
              <w:top w:val="nil"/>
              <w:left w:val="nil"/>
              <w:bottom w:val="nil"/>
              <w:right w:val="single" w:sz="4" w:space="0" w:color="auto"/>
            </w:tcBorders>
          </w:tcPr>
          <w:p w:rsidR="004E46F0" w:rsidRPr="003A6DFB" w:rsidRDefault="0084154B" w:rsidP="004E46F0">
            <w:pPr>
              <w:rPr>
                <w:rFonts w:ascii="Arial" w:hAnsi="Arial" w:cs="Arial"/>
                <w:sz w:val="20"/>
                <w:szCs w:val="20"/>
              </w:rPr>
            </w:pPr>
            <w:r>
              <w:rPr>
                <w:rFonts w:ascii="Arial" w:hAnsi="Arial" w:cs="Arial"/>
                <w:sz w:val="20"/>
                <w:szCs w:val="20"/>
              </w:rPr>
              <w:t xml:space="preserve">CDC </w:t>
            </w:r>
            <w:r w:rsidR="004E46F0" w:rsidRPr="003A6DFB">
              <w:rPr>
                <w:rFonts w:ascii="Arial" w:hAnsi="Arial" w:cs="Arial"/>
                <w:sz w:val="20"/>
                <w:szCs w:val="20"/>
              </w:rPr>
              <w:t>Tribal Con</w:t>
            </w:r>
            <w:r>
              <w:rPr>
                <w:rFonts w:ascii="Arial" w:hAnsi="Arial" w:cs="Arial"/>
                <w:sz w:val="20"/>
                <w:szCs w:val="20"/>
              </w:rPr>
              <w:t>sultation Advisory Committee (TCA</w:t>
            </w:r>
            <w:r w:rsidR="004E46F0" w:rsidRPr="003A6DFB">
              <w:rPr>
                <w:rFonts w:ascii="Arial" w:hAnsi="Arial" w:cs="Arial"/>
                <w:sz w:val="20"/>
                <w:szCs w:val="20"/>
              </w:rPr>
              <w:t>C)</w:t>
            </w:r>
          </w:p>
        </w:tc>
      </w:tr>
      <w:tr w:rsidR="004E46F0" w:rsidTr="003A6DFB">
        <w:tc>
          <w:tcPr>
            <w:tcW w:w="446" w:type="dxa"/>
            <w:tcBorders>
              <w:top w:val="nil"/>
              <w:bottom w:val="nil"/>
              <w:right w:val="nil"/>
            </w:tcBorders>
          </w:tcPr>
          <w:p w:rsidR="00B03517" w:rsidRDefault="003673C8" w:rsidP="004E46F0">
            <w:pPr>
              <w:rPr>
                <w:rFonts w:ascii="Arial" w:hAnsi="Arial" w:cs="Arial"/>
                <w:sz w:val="20"/>
                <w:szCs w:val="20"/>
              </w:rPr>
            </w:pPr>
            <w:r w:rsidRPr="003A6DFB">
              <w:rPr>
                <w:rFonts w:ascii="Arial" w:hAnsi="Arial" w:cs="Arial"/>
                <w:sz w:val="20"/>
                <w:szCs w:val="20"/>
              </w:rPr>
              <w:fldChar w:fldCharType="begin">
                <w:ffData>
                  <w:name w:val="Check5"/>
                  <w:enabled/>
                  <w:calcOnExit w:val="0"/>
                  <w:checkBox>
                    <w:sizeAuto/>
                    <w:default w:val="0"/>
                  </w:checkBox>
                </w:ffData>
              </w:fldChar>
            </w:r>
            <w:bookmarkStart w:id="9" w:name="Check5"/>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bookmarkEnd w:id="9"/>
          </w:p>
          <w:p w:rsidR="004E46F0" w:rsidRPr="00B03517" w:rsidRDefault="003673C8" w:rsidP="00B03517">
            <w:pPr>
              <w:rPr>
                <w:rFonts w:ascii="Arial" w:hAnsi="Arial" w:cs="Arial"/>
                <w:sz w:val="20"/>
                <w:szCs w:val="20"/>
              </w:rPr>
            </w:pPr>
            <w:r w:rsidRPr="003A6DFB">
              <w:rPr>
                <w:rFonts w:ascii="Arial" w:hAnsi="Arial" w:cs="Arial"/>
                <w:sz w:val="20"/>
                <w:szCs w:val="20"/>
              </w:rPr>
              <w:fldChar w:fldCharType="begin">
                <w:ffData>
                  <w:name w:val="Check6"/>
                  <w:enabled/>
                  <w:calcOnExit w:val="0"/>
                  <w:checkBox>
                    <w:sizeAuto/>
                    <w:default w:val="0"/>
                  </w:checkBox>
                </w:ffData>
              </w:fldChar>
            </w:r>
            <w:r w:rsidR="00B03517"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p>
        </w:tc>
        <w:tc>
          <w:tcPr>
            <w:tcW w:w="5422" w:type="dxa"/>
            <w:tcBorders>
              <w:top w:val="nil"/>
              <w:left w:val="nil"/>
              <w:bottom w:val="nil"/>
              <w:right w:val="nil"/>
            </w:tcBorders>
          </w:tcPr>
          <w:p w:rsidR="004E46F0" w:rsidRDefault="004E46F0" w:rsidP="004E46F0">
            <w:pPr>
              <w:rPr>
                <w:rFonts w:ascii="Arial" w:hAnsi="Arial" w:cs="Arial"/>
                <w:sz w:val="20"/>
                <w:szCs w:val="20"/>
              </w:rPr>
            </w:pPr>
            <w:r w:rsidRPr="003A6DFB">
              <w:rPr>
                <w:rFonts w:ascii="Arial" w:hAnsi="Arial" w:cs="Arial"/>
                <w:sz w:val="20"/>
                <w:szCs w:val="20"/>
              </w:rPr>
              <w:t>Tribal Leaders Diabetes Committee</w:t>
            </w:r>
            <w:r w:rsidR="00497137">
              <w:rPr>
                <w:rFonts w:ascii="Arial" w:hAnsi="Arial" w:cs="Arial"/>
                <w:sz w:val="20"/>
                <w:szCs w:val="20"/>
              </w:rPr>
              <w:t xml:space="preserve"> (TLDC)</w:t>
            </w:r>
          </w:p>
          <w:p w:rsidR="00B03517" w:rsidRPr="003A6DFB" w:rsidRDefault="00557BB0" w:rsidP="00557BB0">
            <w:pPr>
              <w:rPr>
                <w:rFonts w:ascii="Arial" w:hAnsi="Arial" w:cs="Arial"/>
                <w:sz w:val="20"/>
                <w:szCs w:val="20"/>
              </w:rPr>
            </w:pPr>
            <w:r>
              <w:rPr>
                <w:rFonts w:ascii="Arial" w:hAnsi="Arial" w:cs="Arial"/>
                <w:sz w:val="20"/>
                <w:szCs w:val="20"/>
              </w:rPr>
              <w:t>HHS Tribal Consultation Advisory Workgroup</w:t>
            </w:r>
          </w:p>
        </w:tc>
        <w:tc>
          <w:tcPr>
            <w:tcW w:w="476" w:type="dxa"/>
            <w:tcBorders>
              <w:top w:val="nil"/>
              <w:left w:val="nil"/>
              <w:bottom w:val="nil"/>
              <w:right w:val="nil"/>
            </w:tcBorders>
          </w:tcPr>
          <w:p w:rsidR="00B03517" w:rsidRDefault="003673C8" w:rsidP="004E46F0">
            <w:pPr>
              <w:rPr>
                <w:rFonts w:ascii="Arial" w:hAnsi="Arial" w:cs="Arial"/>
                <w:b/>
                <w:sz w:val="20"/>
                <w:szCs w:val="20"/>
              </w:rPr>
            </w:pPr>
            <w:r w:rsidRPr="003A6DFB">
              <w:rPr>
                <w:rFonts w:ascii="Arial" w:hAnsi="Arial" w:cs="Arial"/>
                <w:sz w:val="20"/>
                <w:szCs w:val="20"/>
              </w:rPr>
              <w:fldChar w:fldCharType="begin">
                <w:ffData>
                  <w:name w:val="Check6"/>
                  <w:enabled/>
                  <w:calcOnExit w:val="0"/>
                  <w:checkBox>
                    <w:sizeAuto/>
                    <w:default w:val="0"/>
                  </w:checkBox>
                </w:ffData>
              </w:fldChar>
            </w:r>
            <w:r w:rsidR="00497137"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p>
          <w:p w:rsidR="004E46F0" w:rsidRPr="00B03517" w:rsidRDefault="003673C8" w:rsidP="00B03517">
            <w:pPr>
              <w:rPr>
                <w:rFonts w:ascii="Arial" w:hAnsi="Arial" w:cs="Arial"/>
                <w:sz w:val="20"/>
                <w:szCs w:val="20"/>
              </w:rPr>
            </w:pPr>
            <w:r w:rsidRPr="003A6DFB">
              <w:rPr>
                <w:rFonts w:ascii="Arial" w:hAnsi="Arial" w:cs="Arial"/>
                <w:sz w:val="20"/>
                <w:szCs w:val="20"/>
              </w:rPr>
              <w:fldChar w:fldCharType="begin">
                <w:ffData>
                  <w:name w:val="Check6"/>
                  <w:enabled/>
                  <w:calcOnExit w:val="0"/>
                  <w:checkBox>
                    <w:sizeAuto/>
                    <w:default w:val="0"/>
                  </w:checkBox>
                </w:ffData>
              </w:fldChar>
            </w:r>
            <w:r w:rsidR="00B03517"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p>
        </w:tc>
        <w:tc>
          <w:tcPr>
            <w:tcW w:w="5248" w:type="dxa"/>
            <w:tcBorders>
              <w:top w:val="nil"/>
              <w:left w:val="nil"/>
              <w:bottom w:val="nil"/>
              <w:right w:val="single" w:sz="4" w:space="0" w:color="auto"/>
            </w:tcBorders>
          </w:tcPr>
          <w:p w:rsidR="004E46F0" w:rsidRDefault="004E46F0" w:rsidP="004E46F0">
            <w:pPr>
              <w:rPr>
                <w:rFonts w:ascii="Arial" w:hAnsi="Arial" w:cs="Arial"/>
                <w:sz w:val="20"/>
                <w:szCs w:val="20"/>
              </w:rPr>
            </w:pPr>
            <w:r w:rsidRPr="003A6DFB">
              <w:rPr>
                <w:rFonts w:ascii="Arial" w:hAnsi="Arial" w:cs="Arial"/>
                <w:sz w:val="20"/>
                <w:szCs w:val="20"/>
              </w:rPr>
              <w:t>Tribal Technical Advisory Group (CMS</w:t>
            </w:r>
            <w:r w:rsidR="00497137">
              <w:rPr>
                <w:rFonts w:ascii="Arial" w:hAnsi="Arial" w:cs="Arial"/>
                <w:sz w:val="20"/>
                <w:szCs w:val="20"/>
              </w:rPr>
              <w:t>-TTAG</w:t>
            </w:r>
            <w:r w:rsidRPr="003A6DFB">
              <w:rPr>
                <w:rFonts w:ascii="Arial" w:hAnsi="Arial" w:cs="Arial"/>
                <w:sz w:val="20"/>
                <w:szCs w:val="20"/>
              </w:rPr>
              <w:t>)</w:t>
            </w:r>
          </w:p>
          <w:p w:rsidR="00B03517" w:rsidRPr="003A6DFB" w:rsidRDefault="00B03517" w:rsidP="004E46F0">
            <w:pPr>
              <w:rPr>
                <w:rFonts w:ascii="Arial" w:hAnsi="Arial" w:cs="Arial"/>
                <w:sz w:val="20"/>
                <w:szCs w:val="20"/>
              </w:rPr>
            </w:pPr>
            <w:r>
              <w:rPr>
                <w:rFonts w:ascii="Arial" w:hAnsi="Arial" w:cs="Arial"/>
                <w:sz w:val="20"/>
                <w:szCs w:val="20"/>
              </w:rPr>
              <w:t>Self-Governance Health Care Reform</w:t>
            </w:r>
          </w:p>
        </w:tc>
      </w:tr>
      <w:tr w:rsidR="004E46F0" w:rsidTr="003A6DFB">
        <w:tc>
          <w:tcPr>
            <w:tcW w:w="446" w:type="dxa"/>
            <w:tcBorders>
              <w:top w:val="nil"/>
              <w:right w:val="nil"/>
            </w:tcBorders>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Check5"/>
                  <w:enabled/>
                  <w:calcOnExit w:val="0"/>
                  <w:checkBox>
                    <w:sizeAuto/>
                    <w:default w:val="0"/>
                  </w:checkBox>
                </w:ffData>
              </w:fldChar>
            </w:r>
            <w:r w:rsidR="004E46F0" w:rsidRPr="003A6DFB">
              <w:rPr>
                <w:rFonts w:ascii="Arial" w:hAnsi="Arial" w:cs="Arial"/>
                <w:sz w:val="20"/>
                <w:szCs w:val="20"/>
              </w:rPr>
              <w:instrText xml:space="preserve"> FORMCHECKBOX </w:instrText>
            </w:r>
            <w:r w:rsidR="005B16B7">
              <w:rPr>
                <w:rFonts w:ascii="Arial" w:hAnsi="Arial" w:cs="Arial"/>
                <w:sz w:val="20"/>
                <w:szCs w:val="20"/>
              </w:rPr>
            </w:r>
            <w:r w:rsidR="005B16B7">
              <w:rPr>
                <w:rFonts w:ascii="Arial" w:hAnsi="Arial" w:cs="Arial"/>
                <w:sz w:val="20"/>
                <w:szCs w:val="20"/>
              </w:rPr>
              <w:fldChar w:fldCharType="separate"/>
            </w:r>
            <w:r w:rsidRPr="003A6DFB">
              <w:rPr>
                <w:rFonts w:ascii="Arial" w:hAnsi="Arial" w:cs="Arial"/>
                <w:sz w:val="20"/>
                <w:szCs w:val="20"/>
              </w:rPr>
              <w:fldChar w:fldCharType="end"/>
            </w:r>
          </w:p>
        </w:tc>
        <w:tc>
          <w:tcPr>
            <w:tcW w:w="5422" w:type="dxa"/>
            <w:tcBorders>
              <w:top w:val="nil"/>
              <w:left w:val="nil"/>
              <w:bottom w:val="single" w:sz="4" w:space="0" w:color="auto"/>
              <w:right w:val="nil"/>
            </w:tcBorders>
          </w:tcPr>
          <w:p w:rsidR="004E46F0" w:rsidRDefault="004E46F0" w:rsidP="004E46F0">
            <w:pPr>
              <w:rPr>
                <w:rFonts w:ascii="Arial" w:hAnsi="Arial" w:cs="Arial"/>
                <w:sz w:val="20"/>
                <w:szCs w:val="20"/>
              </w:rPr>
            </w:pPr>
            <w:r w:rsidRPr="003A6DFB">
              <w:rPr>
                <w:rFonts w:ascii="Arial" w:hAnsi="Arial" w:cs="Arial"/>
                <w:sz w:val="20"/>
                <w:szCs w:val="20"/>
              </w:rPr>
              <w:t>AI/AN Health Research Advisory Group</w:t>
            </w:r>
          </w:p>
          <w:p w:rsidR="0084154B" w:rsidRPr="003A6DFB" w:rsidRDefault="0084154B" w:rsidP="004E46F0">
            <w:pPr>
              <w:rPr>
                <w:rFonts w:ascii="Arial" w:hAnsi="Arial" w:cs="Arial"/>
                <w:sz w:val="20"/>
                <w:szCs w:val="20"/>
              </w:rPr>
            </w:pPr>
          </w:p>
        </w:tc>
        <w:tc>
          <w:tcPr>
            <w:tcW w:w="476" w:type="dxa"/>
            <w:tcBorders>
              <w:top w:val="nil"/>
              <w:left w:val="nil"/>
              <w:bottom w:val="single" w:sz="4" w:space="0" w:color="auto"/>
              <w:right w:val="nil"/>
            </w:tcBorders>
          </w:tcPr>
          <w:p w:rsidR="004E46F0" w:rsidRPr="003A6DFB" w:rsidRDefault="004E46F0" w:rsidP="004E46F0">
            <w:pPr>
              <w:rPr>
                <w:rFonts w:ascii="Arial" w:hAnsi="Arial" w:cs="Arial"/>
                <w:sz w:val="20"/>
                <w:szCs w:val="20"/>
              </w:rPr>
            </w:pPr>
          </w:p>
        </w:tc>
        <w:tc>
          <w:tcPr>
            <w:tcW w:w="5248" w:type="dxa"/>
            <w:tcBorders>
              <w:top w:val="nil"/>
              <w:left w:val="nil"/>
              <w:bottom w:val="single" w:sz="4" w:space="0" w:color="auto"/>
              <w:right w:val="single" w:sz="4" w:space="0" w:color="auto"/>
            </w:tcBorders>
          </w:tcPr>
          <w:p w:rsidR="004E46F0" w:rsidRPr="003A6DFB" w:rsidRDefault="004E46F0" w:rsidP="004E46F0">
            <w:pPr>
              <w:rPr>
                <w:rFonts w:ascii="Arial" w:hAnsi="Arial" w:cs="Arial"/>
                <w:sz w:val="20"/>
                <w:szCs w:val="20"/>
              </w:rPr>
            </w:pPr>
          </w:p>
        </w:tc>
      </w:tr>
    </w:tbl>
    <w:p w:rsidR="004E46F0" w:rsidRDefault="004E46F0" w:rsidP="004E4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660"/>
        <w:gridCol w:w="3282"/>
        <w:gridCol w:w="2827"/>
      </w:tblGrid>
      <w:tr w:rsidR="004E46F0" w:rsidTr="003A6DFB">
        <w:tc>
          <w:tcPr>
            <w:tcW w:w="2628" w:type="dxa"/>
          </w:tcPr>
          <w:p w:rsidR="004E46F0" w:rsidRPr="003A6DFB" w:rsidRDefault="004E46F0" w:rsidP="004E46F0">
            <w:pPr>
              <w:rPr>
                <w:rFonts w:ascii="Arial" w:hAnsi="Arial" w:cs="Arial"/>
                <w:b/>
              </w:rPr>
            </w:pPr>
            <w:r w:rsidRPr="003A6DFB">
              <w:rPr>
                <w:rFonts w:ascii="Arial" w:hAnsi="Arial" w:cs="Arial"/>
                <w:b/>
              </w:rPr>
              <w:t>DATE OF MEETING</w:t>
            </w:r>
            <w:r w:rsidR="00A71214">
              <w:rPr>
                <w:rFonts w:ascii="Arial" w:hAnsi="Arial" w:cs="Arial"/>
                <w:b/>
              </w:rPr>
              <w:t>S</w:t>
            </w:r>
          </w:p>
        </w:tc>
        <w:tc>
          <w:tcPr>
            <w:tcW w:w="2700" w:type="dxa"/>
          </w:tcPr>
          <w:p w:rsidR="004030DD" w:rsidRPr="003A6DFB" w:rsidRDefault="006C6818" w:rsidP="00B03517">
            <w:pPr>
              <w:tabs>
                <w:tab w:val="left" w:pos="1800"/>
              </w:tabs>
              <w:rPr>
                <w:rFonts w:ascii="Arial" w:hAnsi="Arial" w:cs="Arial"/>
                <w:sz w:val="20"/>
                <w:szCs w:val="20"/>
              </w:rPr>
            </w:pPr>
            <w:r>
              <w:rPr>
                <w:rFonts w:ascii="Arial" w:hAnsi="Arial" w:cs="Arial"/>
                <w:sz w:val="20"/>
                <w:szCs w:val="20"/>
              </w:rPr>
              <w:t>September 4-5, 2019</w:t>
            </w:r>
          </w:p>
        </w:tc>
        <w:tc>
          <w:tcPr>
            <w:tcW w:w="3366" w:type="dxa"/>
          </w:tcPr>
          <w:p w:rsidR="004E46F0" w:rsidRPr="003A6DFB" w:rsidRDefault="004E46F0" w:rsidP="004E46F0">
            <w:pPr>
              <w:rPr>
                <w:rFonts w:ascii="Arial" w:hAnsi="Arial" w:cs="Arial"/>
                <w:b/>
              </w:rPr>
            </w:pPr>
          </w:p>
        </w:tc>
        <w:tc>
          <w:tcPr>
            <w:tcW w:w="2898" w:type="dxa"/>
          </w:tcPr>
          <w:p w:rsidR="004E46F0" w:rsidRPr="003A6DFB" w:rsidRDefault="004E46F0" w:rsidP="004E46F0">
            <w:pPr>
              <w:rPr>
                <w:rFonts w:ascii="Arial" w:hAnsi="Arial" w:cs="Arial"/>
                <w:sz w:val="20"/>
                <w:szCs w:val="20"/>
              </w:rPr>
            </w:pPr>
          </w:p>
        </w:tc>
      </w:tr>
    </w:tbl>
    <w:p w:rsidR="004E46F0" w:rsidRDefault="004E46F0" w:rsidP="004E4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787"/>
        <w:gridCol w:w="2830"/>
        <w:gridCol w:w="2830"/>
      </w:tblGrid>
      <w:tr w:rsidR="004E46F0" w:rsidTr="003A6DFB">
        <w:tc>
          <w:tcPr>
            <w:tcW w:w="11592" w:type="dxa"/>
            <w:gridSpan w:val="4"/>
            <w:shd w:val="clear" w:color="auto" w:fill="D9D9D9"/>
          </w:tcPr>
          <w:p w:rsidR="004E46F0" w:rsidRPr="003A6DFB" w:rsidRDefault="00015E80" w:rsidP="004E46F0">
            <w:pPr>
              <w:rPr>
                <w:rFonts w:ascii="Arial" w:hAnsi="Arial" w:cs="Arial"/>
              </w:rPr>
            </w:pPr>
            <w:r>
              <w:rPr>
                <w:rFonts w:ascii="Arial" w:hAnsi="Arial" w:cs="Arial"/>
                <w:b/>
              </w:rPr>
              <w:t>COMMITTEE REPRESENTATIVE:</w:t>
            </w:r>
          </w:p>
        </w:tc>
      </w:tr>
      <w:tr w:rsidR="004E46F0" w:rsidTr="003A6DFB">
        <w:tc>
          <w:tcPr>
            <w:tcW w:w="2988" w:type="dxa"/>
          </w:tcPr>
          <w:p w:rsidR="000F4C68" w:rsidRDefault="00015E80" w:rsidP="004E46F0">
            <w:pPr>
              <w:rPr>
                <w:rFonts w:ascii="Arial" w:hAnsi="Arial" w:cs="Arial"/>
                <w:sz w:val="20"/>
                <w:szCs w:val="20"/>
              </w:rPr>
            </w:pPr>
            <w:r>
              <w:rPr>
                <w:rFonts w:ascii="Arial" w:hAnsi="Arial" w:cs="Arial"/>
                <w:sz w:val="20"/>
                <w:szCs w:val="20"/>
              </w:rPr>
              <w:t>Name:</w:t>
            </w:r>
          </w:p>
          <w:p w:rsidR="00015E80" w:rsidRDefault="00015E80" w:rsidP="004E46F0">
            <w:pPr>
              <w:rPr>
                <w:rFonts w:ascii="Arial" w:hAnsi="Arial" w:cs="Arial"/>
                <w:sz w:val="20"/>
                <w:szCs w:val="20"/>
              </w:rPr>
            </w:pPr>
            <w:r>
              <w:rPr>
                <w:rFonts w:ascii="Arial" w:hAnsi="Arial" w:cs="Arial"/>
                <w:sz w:val="20"/>
                <w:szCs w:val="20"/>
              </w:rPr>
              <w:t>Title:</w:t>
            </w:r>
          </w:p>
          <w:p w:rsidR="000F4C68" w:rsidRPr="003A6DFB" w:rsidRDefault="00015E80" w:rsidP="004E46F0">
            <w:pPr>
              <w:rPr>
                <w:rFonts w:ascii="Arial" w:hAnsi="Arial" w:cs="Arial"/>
                <w:sz w:val="20"/>
                <w:szCs w:val="20"/>
              </w:rPr>
            </w:pPr>
            <w:r>
              <w:rPr>
                <w:rFonts w:ascii="Arial" w:hAnsi="Arial" w:cs="Arial"/>
                <w:sz w:val="20"/>
                <w:szCs w:val="20"/>
              </w:rPr>
              <w:t>E-mail:</w:t>
            </w:r>
          </w:p>
        </w:tc>
        <w:tc>
          <w:tcPr>
            <w:tcW w:w="2808" w:type="dxa"/>
          </w:tcPr>
          <w:p w:rsidR="004E46F0" w:rsidRDefault="00167182" w:rsidP="004E46F0">
            <w:pPr>
              <w:rPr>
                <w:rFonts w:ascii="Arial" w:hAnsi="Arial" w:cs="Arial"/>
                <w:sz w:val="20"/>
                <w:szCs w:val="20"/>
              </w:rPr>
            </w:pPr>
            <w:r>
              <w:rPr>
                <w:rFonts w:ascii="Arial" w:hAnsi="Arial" w:cs="Arial"/>
                <w:sz w:val="20"/>
                <w:szCs w:val="20"/>
              </w:rPr>
              <w:t>Stewart Ferguson</w:t>
            </w:r>
          </w:p>
          <w:p w:rsidR="00167182" w:rsidRDefault="00167182" w:rsidP="004E46F0">
            <w:pPr>
              <w:rPr>
                <w:rFonts w:ascii="Arial" w:hAnsi="Arial" w:cs="Arial"/>
                <w:sz w:val="20"/>
                <w:szCs w:val="20"/>
              </w:rPr>
            </w:pPr>
            <w:r>
              <w:rPr>
                <w:rFonts w:ascii="Arial" w:hAnsi="Arial" w:cs="Arial"/>
                <w:sz w:val="20"/>
                <w:szCs w:val="20"/>
              </w:rPr>
              <w:t xml:space="preserve">Chief </w:t>
            </w:r>
            <w:r w:rsidR="00EE5C62">
              <w:rPr>
                <w:rFonts w:ascii="Arial" w:hAnsi="Arial" w:cs="Arial"/>
                <w:sz w:val="20"/>
                <w:szCs w:val="20"/>
              </w:rPr>
              <w:t>Information</w:t>
            </w:r>
            <w:r>
              <w:rPr>
                <w:rFonts w:ascii="Arial" w:hAnsi="Arial" w:cs="Arial"/>
                <w:sz w:val="20"/>
                <w:szCs w:val="20"/>
              </w:rPr>
              <w:t xml:space="preserve"> Officer</w:t>
            </w:r>
          </w:p>
          <w:p w:rsidR="00167182" w:rsidRPr="003A6DFB" w:rsidRDefault="00167182" w:rsidP="004E46F0">
            <w:pPr>
              <w:rPr>
                <w:rFonts w:ascii="Arial" w:hAnsi="Arial" w:cs="Arial"/>
                <w:sz w:val="20"/>
                <w:szCs w:val="20"/>
              </w:rPr>
            </w:pPr>
            <w:r>
              <w:rPr>
                <w:rFonts w:ascii="Arial" w:hAnsi="Arial" w:cs="Arial"/>
                <w:sz w:val="20"/>
                <w:szCs w:val="20"/>
              </w:rPr>
              <w:t>sferguson@anthc.org</w:t>
            </w:r>
          </w:p>
        </w:tc>
        <w:tc>
          <w:tcPr>
            <w:tcW w:w="2898" w:type="dxa"/>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Text5"/>
                  <w:enabled/>
                  <w:calcOnExit w:val="0"/>
                  <w:textInput/>
                </w:ffData>
              </w:fldChar>
            </w:r>
            <w:bookmarkStart w:id="10" w:name="Text5"/>
            <w:r w:rsidR="004E46F0" w:rsidRPr="003A6DFB">
              <w:rPr>
                <w:rFonts w:ascii="Arial" w:hAnsi="Arial" w:cs="Arial"/>
                <w:sz w:val="20"/>
                <w:szCs w:val="20"/>
              </w:rPr>
              <w:instrText xml:space="preserve"> FORMTEXT </w:instrText>
            </w:r>
            <w:r w:rsidRPr="003A6DFB">
              <w:rPr>
                <w:rFonts w:ascii="Arial" w:hAnsi="Arial" w:cs="Arial"/>
                <w:sz w:val="20"/>
                <w:szCs w:val="20"/>
              </w:rPr>
            </w:r>
            <w:r w:rsidRPr="003A6DFB">
              <w:rPr>
                <w:rFonts w:ascii="Arial" w:hAnsi="Arial" w:cs="Arial"/>
                <w:sz w:val="20"/>
                <w:szCs w:val="20"/>
              </w:rPr>
              <w:fldChar w:fldCharType="separate"/>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Pr="003A6DFB">
              <w:rPr>
                <w:rFonts w:ascii="Arial" w:hAnsi="Arial" w:cs="Arial"/>
                <w:sz w:val="20"/>
                <w:szCs w:val="20"/>
              </w:rPr>
              <w:fldChar w:fldCharType="end"/>
            </w:r>
            <w:bookmarkEnd w:id="10"/>
          </w:p>
        </w:tc>
        <w:tc>
          <w:tcPr>
            <w:tcW w:w="2898" w:type="dxa"/>
          </w:tcPr>
          <w:p w:rsidR="004E46F0" w:rsidRPr="003A6DFB" w:rsidRDefault="003673C8" w:rsidP="004E46F0">
            <w:pPr>
              <w:rPr>
                <w:rFonts w:ascii="Arial" w:hAnsi="Arial" w:cs="Arial"/>
                <w:sz w:val="20"/>
                <w:szCs w:val="20"/>
              </w:rPr>
            </w:pPr>
            <w:r w:rsidRPr="003A6DFB">
              <w:rPr>
                <w:rFonts w:ascii="Arial" w:hAnsi="Arial" w:cs="Arial"/>
                <w:sz w:val="20"/>
                <w:szCs w:val="20"/>
              </w:rPr>
              <w:fldChar w:fldCharType="begin">
                <w:ffData>
                  <w:name w:val="Text6"/>
                  <w:enabled/>
                  <w:calcOnExit w:val="0"/>
                  <w:textInput/>
                </w:ffData>
              </w:fldChar>
            </w:r>
            <w:bookmarkStart w:id="11" w:name="Text6"/>
            <w:r w:rsidR="004E46F0" w:rsidRPr="003A6DFB">
              <w:rPr>
                <w:rFonts w:ascii="Arial" w:hAnsi="Arial" w:cs="Arial"/>
                <w:sz w:val="20"/>
                <w:szCs w:val="20"/>
              </w:rPr>
              <w:instrText xml:space="preserve"> FORMTEXT </w:instrText>
            </w:r>
            <w:r w:rsidRPr="003A6DFB">
              <w:rPr>
                <w:rFonts w:ascii="Arial" w:hAnsi="Arial" w:cs="Arial"/>
                <w:sz w:val="20"/>
                <w:szCs w:val="20"/>
              </w:rPr>
            </w:r>
            <w:r w:rsidRPr="003A6DFB">
              <w:rPr>
                <w:rFonts w:ascii="Arial" w:hAnsi="Arial" w:cs="Arial"/>
                <w:sz w:val="20"/>
                <w:szCs w:val="20"/>
              </w:rPr>
              <w:fldChar w:fldCharType="separate"/>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004E46F0" w:rsidRPr="003A6DFB">
              <w:rPr>
                <w:rFonts w:ascii="Arial" w:hAnsi="Arial" w:cs="Arial"/>
                <w:noProof/>
                <w:sz w:val="20"/>
                <w:szCs w:val="20"/>
              </w:rPr>
              <w:t> </w:t>
            </w:r>
            <w:r w:rsidRPr="003A6DFB">
              <w:rPr>
                <w:rFonts w:ascii="Arial" w:hAnsi="Arial" w:cs="Arial"/>
                <w:sz w:val="20"/>
                <w:szCs w:val="20"/>
              </w:rPr>
              <w:fldChar w:fldCharType="end"/>
            </w:r>
            <w:bookmarkEnd w:id="11"/>
          </w:p>
        </w:tc>
      </w:tr>
    </w:tbl>
    <w:p w:rsidR="004E46F0" w:rsidRDefault="004E46F0" w:rsidP="004E4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8425"/>
      </w:tblGrid>
      <w:tr w:rsidR="004E46F0" w:rsidTr="0061270F">
        <w:trPr>
          <w:trHeight w:val="377"/>
        </w:trPr>
        <w:tc>
          <w:tcPr>
            <w:tcW w:w="2941" w:type="dxa"/>
            <w:shd w:val="clear" w:color="auto" w:fill="D9D9D9"/>
            <w:vAlign w:val="center"/>
          </w:tcPr>
          <w:p w:rsidR="004E46F0" w:rsidRPr="003A6DFB" w:rsidRDefault="004E46F0" w:rsidP="00072CD8">
            <w:pPr>
              <w:rPr>
                <w:rFonts w:ascii="Arial" w:hAnsi="Arial" w:cs="Arial"/>
                <w:b/>
                <w:caps/>
              </w:rPr>
            </w:pPr>
            <w:r w:rsidRPr="003A6DFB">
              <w:rPr>
                <w:rFonts w:ascii="Arial" w:hAnsi="Arial" w:cs="Arial"/>
                <w:b/>
                <w:caps/>
              </w:rPr>
              <w:t>Agenda Item</w:t>
            </w:r>
          </w:p>
        </w:tc>
        <w:tc>
          <w:tcPr>
            <w:tcW w:w="8425" w:type="dxa"/>
            <w:shd w:val="clear" w:color="auto" w:fill="D9D9D9"/>
            <w:vAlign w:val="center"/>
          </w:tcPr>
          <w:p w:rsidR="004E46F0" w:rsidRPr="003A6DFB" w:rsidRDefault="004E46F0" w:rsidP="00072CD8">
            <w:pPr>
              <w:rPr>
                <w:rFonts w:ascii="Arial" w:hAnsi="Arial" w:cs="Arial"/>
                <w:b/>
                <w:caps/>
              </w:rPr>
            </w:pPr>
            <w:r w:rsidRPr="003A6DFB">
              <w:rPr>
                <w:rFonts w:ascii="Arial" w:hAnsi="Arial" w:cs="Arial"/>
                <w:b/>
                <w:caps/>
              </w:rPr>
              <w:t xml:space="preserve">Summary/Highlights </w:t>
            </w:r>
            <w:r w:rsidRPr="003A6DFB">
              <w:rPr>
                <w:rFonts w:ascii="Arial" w:hAnsi="Arial" w:cs="Arial"/>
                <w:i/>
                <w:sz w:val="20"/>
                <w:szCs w:val="20"/>
              </w:rPr>
              <w:t>(Committee action should be noted in this section)</w:t>
            </w:r>
          </w:p>
        </w:tc>
      </w:tr>
      <w:tr w:rsidR="007A319C" w:rsidTr="0061270F">
        <w:tc>
          <w:tcPr>
            <w:tcW w:w="2941" w:type="dxa"/>
          </w:tcPr>
          <w:p w:rsidR="000F4C68" w:rsidRPr="003A6DFB" w:rsidRDefault="00E676D9" w:rsidP="004E46F0">
            <w:pPr>
              <w:rPr>
                <w:rFonts w:ascii="Arial" w:hAnsi="Arial" w:cs="Arial"/>
                <w:sz w:val="20"/>
                <w:szCs w:val="20"/>
              </w:rPr>
            </w:pPr>
            <w:r w:rsidRPr="00E676D9">
              <w:rPr>
                <w:rFonts w:ascii="Arial" w:hAnsi="Arial" w:cs="Arial"/>
                <w:sz w:val="20"/>
                <w:szCs w:val="20"/>
              </w:rPr>
              <w:t>IHS Modernization Funding</w:t>
            </w:r>
          </w:p>
        </w:tc>
        <w:tc>
          <w:tcPr>
            <w:tcW w:w="8425" w:type="dxa"/>
          </w:tcPr>
          <w:p w:rsidR="00E06B73" w:rsidRPr="008145F3" w:rsidRDefault="00E676D9" w:rsidP="00174F90">
            <w:pPr>
              <w:pStyle w:val="ListParagraph"/>
              <w:numPr>
                <w:ilvl w:val="0"/>
                <w:numId w:val="28"/>
              </w:numPr>
              <w:rPr>
                <w:rFonts w:ascii="Arial" w:hAnsi="Arial" w:cs="Arial"/>
                <w:sz w:val="20"/>
                <w:szCs w:val="20"/>
              </w:rPr>
            </w:pPr>
            <w:r>
              <w:rPr>
                <w:rFonts w:ascii="Arial" w:hAnsi="Arial" w:cs="Arial"/>
                <w:sz w:val="20"/>
                <w:szCs w:val="20"/>
              </w:rPr>
              <w:t xml:space="preserve">At the request of TSGAC, IHS was asked whether the $25M in FY20 funding for HIT Modernization would remain within IHS or move to HHS. The IHS CIO reported that he funds, and the project moving forward, will remain at IHS.  He reported that </w:t>
            </w:r>
            <w:r w:rsidR="009908FF">
              <w:rPr>
                <w:rFonts w:ascii="Arial" w:hAnsi="Arial" w:cs="Arial"/>
                <w:sz w:val="20"/>
                <w:szCs w:val="20"/>
              </w:rPr>
              <w:t>HHS only</w:t>
            </w:r>
            <w:r>
              <w:rPr>
                <w:rFonts w:ascii="Arial" w:hAnsi="Arial" w:cs="Arial"/>
                <w:sz w:val="20"/>
                <w:szCs w:val="20"/>
              </w:rPr>
              <w:t xml:space="preserve"> funded the current projec</w:t>
            </w:r>
            <w:r w:rsidR="008145F3">
              <w:rPr>
                <w:rFonts w:ascii="Arial" w:hAnsi="Arial" w:cs="Arial"/>
                <w:sz w:val="20"/>
                <w:szCs w:val="20"/>
              </w:rPr>
              <w:t xml:space="preserve">t in FY19, is not planning to run the project in FY20, but will </w:t>
            </w:r>
            <w:r w:rsidR="00174F90">
              <w:rPr>
                <w:rFonts w:ascii="Arial" w:hAnsi="Arial" w:cs="Arial"/>
                <w:sz w:val="20"/>
                <w:szCs w:val="20"/>
              </w:rPr>
              <w:t>stay</w:t>
            </w:r>
            <w:r w:rsidR="008145F3">
              <w:rPr>
                <w:rFonts w:ascii="Arial" w:hAnsi="Arial" w:cs="Arial"/>
                <w:sz w:val="20"/>
                <w:szCs w:val="20"/>
              </w:rPr>
              <w:t xml:space="preserve"> engaged with IHS as this progresses.</w:t>
            </w:r>
          </w:p>
        </w:tc>
      </w:tr>
      <w:tr w:rsidR="008145F3" w:rsidTr="0061270F">
        <w:tc>
          <w:tcPr>
            <w:tcW w:w="2941" w:type="dxa"/>
          </w:tcPr>
          <w:p w:rsidR="008145F3" w:rsidRPr="00E676D9" w:rsidRDefault="008145F3" w:rsidP="004E46F0">
            <w:pPr>
              <w:rPr>
                <w:rFonts w:ascii="Arial" w:hAnsi="Arial" w:cs="Arial"/>
                <w:sz w:val="20"/>
                <w:szCs w:val="20"/>
              </w:rPr>
            </w:pPr>
            <w:r w:rsidRPr="008145F3">
              <w:rPr>
                <w:rFonts w:ascii="Arial" w:hAnsi="Arial" w:cs="Arial"/>
                <w:sz w:val="20"/>
                <w:szCs w:val="20"/>
              </w:rPr>
              <w:t>Patient Data Concerns</w:t>
            </w:r>
          </w:p>
        </w:tc>
        <w:tc>
          <w:tcPr>
            <w:tcW w:w="8425" w:type="dxa"/>
          </w:tcPr>
          <w:p w:rsidR="00174F90" w:rsidRDefault="008145F3" w:rsidP="00174F90">
            <w:pPr>
              <w:pStyle w:val="ListParagraph"/>
              <w:numPr>
                <w:ilvl w:val="0"/>
                <w:numId w:val="28"/>
              </w:numPr>
              <w:rPr>
                <w:rFonts w:ascii="Arial" w:hAnsi="Arial" w:cs="Arial"/>
                <w:sz w:val="20"/>
                <w:szCs w:val="20"/>
              </w:rPr>
            </w:pPr>
            <w:r>
              <w:rPr>
                <w:rFonts w:ascii="Arial" w:hAnsi="Arial" w:cs="Arial"/>
                <w:sz w:val="20"/>
                <w:szCs w:val="20"/>
              </w:rPr>
              <w:t>At the request of TSGAC, IHS was asked about reports that CDC and NIH have access to IHS data for certain reports such as vital statistics.  The IHS CIO had raised this issue within IHS and stated that he is not aware of any access being granted directly to other federal agencies, although there may be certain grants with tribes and others that share limited data with CDC or NIH.  IHS stated that no other agencies have access to NPIRS (formerly NDW) which is the central repository of IHS patient data</w:t>
            </w:r>
            <w:r w:rsidR="00935ABB">
              <w:rPr>
                <w:rFonts w:ascii="Arial" w:hAnsi="Arial" w:cs="Arial"/>
                <w:sz w:val="20"/>
                <w:szCs w:val="20"/>
              </w:rPr>
              <w:t xml:space="preserve">.  </w:t>
            </w:r>
          </w:p>
          <w:p w:rsidR="008145F3" w:rsidRDefault="00935ABB" w:rsidP="00174F90">
            <w:pPr>
              <w:pStyle w:val="ListParagraph"/>
              <w:numPr>
                <w:ilvl w:val="0"/>
                <w:numId w:val="28"/>
              </w:numPr>
              <w:rPr>
                <w:rFonts w:ascii="Arial" w:hAnsi="Arial" w:cs="Arial"/>
                <w:sz w:val="20"/>
                <w:szCs w:val="20"/>
              </w:rPr>
            </w:pPr>
            <w:r>
              <w:rPr>
                <w:rFonts w:ascii="Arial" w:hAnsi="Arial" w:cs="Arial"/>
                <w:sz w:val="20"/>
                <w:szCs w:val="20"/>
              </w:rPr>
              <w:t>The IHS CIO has asked his staff to review all data sharing agreements, and see if there are any agreements he is not aware of.  It was also suggested that TSGAC contact Rachael Tracy at the IHS National IRB.</w:t>
            </w:r>
          </w:p>
          <w:p w:rsidR="00174F90" w:rsidRDefault="00174F90" w:rsidP="00174F90">
            <w:pPr>
              <w:pStyle w:val="ListParagraph"/>
              <w:numPr>
                <w:ilvl w:val="0"/>
                <w:numId w:val="28"/>
              </w:numPr>
              <w:rPr>
                <w:rFonts w:ascii="Arial" w:hAnsi="Arial" w:cs="Arial"/>
                <w:sz w:val="20"/>
                <w:szCs w:val="20"/>
              </w:rPr>
            </w:pPr>
            <w:r>
              <w:rPr>
                <w:rFonts w:ascii="Arial" w:hAnsi="Arial" w:cs="Arial"/>
                <w:sz w:val="20"/>
                <w:szCs w:val="20"/>
              </w:rPr>
              <w:t>The IHS CIO stated that tribes now can request access to patient-level (i.e. “row-level”) data in NPIRS through OPHS.</w:t>
            </w:r>
          </w:p>
        </w:tc>
      </w:tr>
      <w:tr w:rsidR="00935ABB" w:rsidTr="0061270F">
        <w:tc>
          <w:tcPr>
            <w:tcW w:w="2941" w:type="dxa"/>
          </w:tcPr>
          <w:p w:rsidR="00935ABB" w:rsidRPr="008145F3" w:rsidRDefault="00935ABB" w:rsidP="004E46F0">
            <w:pPr>
              <w:rPr>
                <w:rFonts w:ascii="Arial" w:hAnsi="Arial" w:cs="Arial"/>
                <w:sz w:val="20"/>
                <w:szCs w:val="20"/>
              </w:rPr>
            </w:pPr>
            <w:r>
              <w:rPr>
                <w:rFonts w:ascii="Arial" w:hAnsi="Arial" w:cs="Arial"/>
                <w:sz w:val="20"/>
                <w:szCs w:val="20"/>
              </w:rPr>
              <w:t>IHS Staffing</w:t>
            </w:r>
          </w:p>
        </w:tc>
        <w:tc>
          <w:tcPr>
            <w:tcW w:w="8425" w:type="dxa"/>
          </w:tcPr>
          <w:p w:rsidR="00174F90" w:rsidRDefault="00935ABB" w:rsidP="00174F90">
            <w:pPr>
              <w:pStyle w:val="ListParagraph"/>
              <w:numPr>
                <w:ilvl w:val="0"/>
                <w:numId w:val="28"/>
              </w:numPr>
              <w:rPr>
                <w:rFonts w:ascii="Arial" w:hAnsi="Arial" w:cs="Arial"/>
                <w:sz w:val="20"/>
                <w:szCs w:val="20"/>
              </w:rPr>
            </w:pPr>
            <w:r>
              <w:rPr>
                <w:rFonts w:ascii="Arial" w:hAnsi="Arial" w:cs="Arial"/>
                <w:sz w:val="20"/>
                <w:szCs w:val="20"/>
              </w:rPr>
              <w:t>At the request of TSGAC, IHS was asked about their multi-year staffing plan to prepare for the modernization effort.  IHS reported that a number of operational and tactical activities are underway – e.g. separating out duties for specific staff, moving staff up a job ladder, looking at recruitment challenges, keeping staff with critical skills focused in their specific areas.  IHS recognizes they will need more staff with new skills to be prepared for the modernization effort.</w:t>
            </w:r>
          </w:p>
          <w:p w:rsidR="001A0242" w:rsidRDefault="00174F90" w:rsidP="00174F90">
            <w:pPr>
              <w:pStyle w:val="ListParagraph"/>
              <w:numPr>
                <w:ilvl w:val="0"/>
                <w:numId w:val="28"/>
              </w:numPr>
              <w:rPr>
                <w:rFonts w:ascii="Arial" w:hAnsi="Arial" w:cs="Arial"/>
                <w:sz w:val="20"/>
                <w:szCs w:val="20"/>
              </w:rPr>
            </w:pPr>
            <w:r>
              <w:rPr>
                <w:rFonts w:ascii="Arial" w:hAnsi="Arial" w:cs="Arial"/>
                <w:sz w:val="20"/>
                <w:szCs w:val="20"/>
              </w:rPr>
              <w:t>H</w:t>
            </w:r>
            <w:r w:rsidR="00935ABB">
              <w:rPr>
                <w:rFonts w:ascii="Arial" w:hAnsi="Arial" w:cs="Arial"/>
                <w:sz w:val="20"/>
                <w:szCs w:val="20"/>
              </w:rPr>
              <w:t xml:space="preserve">owever, IHS does not have a multi-year staffing plan and was unable to share specifics about staffing needs.  IHS </w:t>
            </w:r>
            <w:r>
              <w:rPr>
                <w:rFonts w:ascii="Arial" w:hAnsi="Arial" w:cs="Arial"/>
                <w:sz w:val="20"/>
                <w:szCs w:val="20"/>
              </w:rPr>
              <w:t xml:space="preserve">also </w:t>
            </w:r>
            <w:r w:rsidR="00935ABB">
              <w:rPr>
                <w:rFonts w:ascii="Arial" w:hAnsi="Arial" w:cs="Arial"/>
                <w:sz w:val="20"/>
                <w:szCs w:val="20"/>
              </w:rPr>
              <w:t xml:space="preserve">recognizes they were asked by TSGAC to look at the VA staffing model for comparison, </w:t>
            </w:r>
            <w:r w:rsidR="001A0242">
              <w:rPr>
                <w:rFonts w:ascii="Arial" w:hAnsi="Arial" w:cs="Arial"/>
                <w:sz w:val="20"/>
                <w:szCs w:val="20"/>
              </w:rPr>
              <w:t>and have not done that yet.</w:t>
            </w:r>
          </w:p>
          <w:p w:rsidR="00935ABB" w:rsidRDefault="001A0242" w:rsidP="00174F90">
            <w:pPr>
              <w:pStyle w:val="ListParagraph"/>
              <w:numPr>
                <w:ilvl w:val="0"/>
                <w:numId w:val="28"/>
              </w:numPr>
              <w:rPr>
                <w:rFonts w:ascii="Arial" w:hAnsi="Arial" w:cs="Arial"/>
                <w:sz w:val="20"/>
                <w:szCs w:val="20"/>
              </w:rPr>
            </w:pPr>
            <w:r>
              <w:rPr>
                <w:rFonts w:ascii="Arial" w:hAnsi="Arial" w:cs="Arial"/>
                <w:sz w:val="20"/>
                <w:szCs w:val="20"/>
              </w:rPr>
              <w:t>IHS stated they will have a staffing plan in 6 months that they will share (next ISAC meeting) and they hope to include a comparison to the VA staffing plan.</w:t>
            </w:r>
            <w:r w:rsidR="00935ABB">
              <w:rPr>
                <w:rFonts w:ascii="Arial" w:hAnsi="Arial" w:cs="Arial"/>
                <w:sz w:val="20"/>
                <w:szCs w:val="20"/>
              </w:rPr>
              <w:t xml:space="preserve">  </w:t>
            </w:r>
          </w:p>
        </w:tc>
      </w:tr>
      <w:tr w:rsidR="007A319C" w:rsidTr="0061270F">
        <w:tc>
          <w:tcPr>
            <w:tcW w:w="2941" w:type="dxa"/>
          </w:tcPr>
          <w:p w:rsidR="000F4C68" w:rsidRPr="003A6DFB" w:rsidRDefault="00B35DD6" w:rsidP="004E46F0">
            <w:pPr>
              <w:rPr>
                <w:rFonts w:ascii="Arial" w:hAnsi="Arial" w:cs="Arial"/>
                <w:sz w:val="20"/>
                <w:szCs w:val="20"/>
              </w:rPr>
            </w:pPr>
            <w:r>
              <w:rPr>
                <w:rFonts w:ascii="Arial" w:hAnsi="Arial" w:cs="Arial"/>
                <w:sz w:val="20"/>
                <w:szCs w:val="20"/>
              </w:rPr>
              <w:t xml:space="preserve">New </w:t>
            </w:r>
            <w:r w:rsidRPr="000E1CBE">
              <w:rPr>
                <w:rFonts w:ascii="Arial" w:hAnsi="Arial" w:cs="Arial"/>
                <w:sz w:val="20"/>
                <w:szCs w:val="20"/>
              </w:rPr>
              <w:t>ISAC</w:t>
            </w:r>
            <w:r w:rsidR="000E1CBE" w:rsidRPr="000E1CBE">
              <w:rPr>
                <w:rFonts w:ascii="Arial" w:hAnsi="Arial" w:cs="Arial"/>
                <w:sz w:val="20"/>
                <w:szCs w:val="20"/>
              </w:rPr>
              <w:t xml:space="preserve"> Charter.  </w:t>
            </w:r>
          </w:p>
        </w:tc>
        <w:tc>
          <w:tcPr>
            <w:tcW w:w="8425" w:type="dxa"/>
          </w:tcPr>
          <w:p w:rsidR="00B35DD6" w:rsidRDefault="001A0242" w:rsidP="00B35DD6">
            <w:pPr>
              <w:pStyle w:val="ListParagraph"/>
              <w:numPr>
                <w:ilvl w:val="0"/>
                <w:numId w:val="28"/>
              </w:numPr>
              <w:rPr>
                <w:rFonts w:ascii="Arial" w:hAnsi="Arial" w:cs="Arial"/>
                <w:sz w:val="20"/>
                <w:szCs w:val="20"/>
              </w:rPr>
            </w:pPr>
            <w:r>
              <w:rPr>
                <w:rFonts w:ascii="Arial" w:hAnsi="Arial" w:cs="Arial"/>
                <w:sz w:val="20"/>
                <w:szCs w:val="20"/>
              </w:rPr>
              <w:t xml:space="preserve">IHS Leadership has approved a new charter for ISAC.  </w:t>
            </w:r>
          </w:p>
          <w:p w:rsidR="00B35DD6" w:rsidRDefault="001A0242" w:rsidP="00B35DD6">
            <w:pPr>
              <w:pStyle w:val="ListParagraph"/>
              <w:numPr>
                <w:ilvl w:val="0"/>
                <w:numId w:val="28"/>
              </w:numPr>
              <w:rPr>
                <w:rFonts w:ascii="Arial" w:hAnsi="Arial" w:cs="Arial"/>
                <w:sz w:val="20"/>
                <w:szCs w:val="20"/>
              </w:rPr>
            </w:pPr>
            <w:r>
              <w:rPr>
                <w:rFonts w:ascii="Arial" w:hAnsi="Arial" w:cs="Arial"/>
                <w:sz w:val="20"/>
                <w:szCs w:val="20"/>
              </w:rPr>
              <w:t>The ISAC members agreed to adopt the new charter beginning at the next meeting (tentatively scheduled for April 1-2, 2020 in Rockville, MD).</w:t>
            </w:r>
            <w:r w:rsidR="00B35DD6">
              <w:rPr>
                <w:rFonts w:ascii="Arial" w:hAnsi="Arial" w:cs="Arial"/>
                <w:sz w:val="20"/>
                <w:szCs w:val="20"/>
              </w:rPr>
              <w:t xml:space="preserve">  </w:t>
            </w:r>
          </w:p>
          <w:p w:rsidR="00B35DD6" w:rsidRDefault="00B35DD6" w:rsidP="00B35DD6">
            <w:pPr>
              <w:pStyle w:val="ListParagraph"/>
              <w:numPr>
                <w:ilvl w:val="0"/>
                <w:numId w:val="28"/>
              </w:numPr>
              <w:rPr>
                <w:rFonts w:ascii="Arial" w:hAnsi="Arial" w:cs="Arial"/>
                <w:sz w:val="20"/>
                <w:szCs w:val="20"/>
              </w:rPr>
            </w:pPr>
            <w:r>
              <w:rPr>
                <w:rFonts w:ascii="Arial" w:hAnsi="Arial" w:cs="Arial"/>
                <w:sz w:val="20"/>
                <w:szCs w:val="20"/>
              </w:rPr>
              <w:lastRenderedPageBreak/>
              <w:t xml:space="preserve">IHS will be contacting all affected parties to notify them of their ability to appoint members to ISAC or, in rare cases, the loss of their representation on ISAC.  </w:t>
            </w:r>
          </w:p>
          <w:p w:rsidR="00B35DD6" w:rsidRPr="00B35DD6" w:rsidRDefault="00B35DD6" w:rsidP="00B35DD6">
            <w:pPr>
              <w:ind w:left="60"/>
              <w:rPr>
                <w:rFonts w:ascii="Arial" w:hAnsi="Arial" w:cs="Arial"/>
                <w:sz w:val="20"/>
                <w:szCs w:val="20"/>
              </w:rPr>
            </w:pPr>
          </w:p>
          <w:p w:rsidR="00E06B73" w:rsidRPr="00F04ABB" w:rsidRDefault="00E06B73" w:rsidP="00E06B73">
            <w:pPr>
              <w:rPr>
                <w:rFonts w:ascii="Arial" w:hAnsi="Arial" w:cs="Arial"/>
                <w:b/>
                <w:sz w:val="20"/>
                <w:szCs w:val="20"/>
              </w:rPr>
            </w:pPr>
            <w:r w:rsidRPr="00F04ABB">
              <w:rPr>
                <w:rFonts w:ascii="Arial" w:hAnsi="Arial" w:cs="Arial"/>
                <w:b/>
                <w:sz w:val="20"/>
                <w:szCs w:val="20"/>
              </w:rPr>
              <w:t xml:space="preserve">ISAC unanimously passed the following motion related to </w:t>
            </w:r>
            <w:r>
              <w:rPr>
                <w:rFonts w:ascii="Arial" w:hAnsi="Arial" w:cs="Arial"/>
                <w:b/>
                <w:sz w:val="20"/>
                <w:szCs w:val="20"/>
              </w:rPr>
              <w:t>the ISAC Charter:</w:t>
            </w:r>
          </w:p>
          <w:p w:rsidR="00E06B73" w:rsidRDefault="00E06B73" w:rsidP="00E06B73">
            <w:pPr>
              <w:rPr>
                <w:rFonts w:ascii="Arial" w:hAnsi="Arial" w:cs="Arial"/>
                <w:sz w:val="20"/>
                <w:szCs w:val="20"/>
              </w:rPr>
            </w:pPr>
          </w:p>
          <w:p w:rsidR="00B35DD6" w:rsidRPr="00B35DD6" w:rsidRDefault="00B35DD6" w:rsidP="00B35DD6">
            <w:pPr>
              <w:pStyle w:val="ListParagraph"/>
              <w:numPr>
                <w:ilvl w:val="0"/>
                <w:numId w:val="23"/>
              </w:numPr>
              <w:rPr>
                <w:rFonts w:ascii="Arial" w:hAnsi="Arial" w:cs="Arial"/>
                <w:sz w:val="20"/>
                <w:szCs w:val="20"/>
              </w:rPr>
            </w:pPr>
            <w:r w:rsidRPr="00B35DD6">
              <w:rPr>
                <w:rFonts w:ascii="Arial" w:hAnsi="Arial" w:cs="Arial"/>
                <w:sz w:val="20"/>
                <w:szCs w:val="20"/>
              </w:rPr>
              <w:t xml:space="preserve">ISAC charter will take full effect at next ISAC meeting.  The new co-chairs will chair the meeting. Current (outgoing) ISAC co-chairs will provide support to the incoming chairs to help develop an agenda, and attend the meeting to provide background and support to the meeting.  </w:t>
            </w:r>
          </w:p>
          <w:p w:rsidR="00E06B73" w:rsidRPr="00E06B73" w:rsidRDefault="00E06B73" w:rsidP="00E06B73">
            <w:pPr>
              <w:rPr>
                <w:rFonts w:ascii="Arial" w:hAnsi="Arial" w:cs="Arial"/>
                <w:sz w:val="20"/>
                <w:szCs w:val="20"/>
              </w:rPr>
            </w:pPr>
          </w:p>
        </w:tc>
      </w:tr>
      <w:tr w:rsidR="0061270F" w:rsidTr="0061270F">
        <w:tc>
          <w:tcPr>
            <w:tcW w:w="2941" w:type="dxa"/>
          </w:tcPr>
          <w:p w:rsidR="0061270F" w:rsidRDefault="0061270F" w:rsidP="0061270F">
            <w:pPr>
              <w:rPr>
                <w:rFonts w:ascii="Arial" w:hAnsi="Arial" w:cs="Arial"/>
                <w:sz w:val="20"/>
                <w:szCs w:val="20"/>
              </w:rPr>
            </w:pPr>
            <w:r>
              <w:rPr>
                <w:rFonts w:ascii="Arial" w:hAnsi="Arial" w:cs="Arial"/>
                <w:sz w:val="20"/>
                <w:szCs w:val="20"/>
              </w:rPr>
              <w:lastRenderedPageBreak/>
              <w:t>HHS Report on HIT Modernization.</w:t>
            </w:r>
          </w:p>
        </w:tc>
        <w:tc>
          <w:tcPr>
            <w:tcW w:w="8425" w:type="dxa"/>
          </w:tcPr>
          <w:p w:rsidR="0061270F" w:rsidRDefault="0061270F" w:rsidP="0061270F">
            <w:pPr>
              <w:pStyle w:val="ListParagraph"/>
              <w:numPr>
                <w:ilvl w:val="0"/>
                <w:numId w:val="27"/>
              </w:numPr>
              <w:spacing w:after="160" w:line="259" w:lineRule="auto"/>
              <w:rPr>
                <w:rFonts w:ascii="Arial" w:hAnsi="Arial" w:cs="Arial"/>
                <w:sz w:val="20"/>
                <w:szCs w:val="20"/>
              </w:rPr>
            </w:pPr>
            <w:r w:rsidRPr="00861707">
              <w:rPr>
                <w:rFonts w:ascii="Arial" w:hAnsi="Arial" w:cs="Arial"/>
                <w:sz w:val="20"/>
                <w:szCs w:val="20"/>
              </w:rPr>
              <w:t>Maia Laing</w:t>
            </w:r>
            <w:r>
              <w:rPr>
                <w:rFonts w:ascii="Arial" w:hAnsi="Arial" w:cs="Arial"/>
                <w:sz w:val="20"/>
                <w:szCs w:val="20"/>
              </w:rPr>
              <w:t xml:space="preserve"> (</w:t>
            </w:r>
            <w:r w:rsidRPr="00861707">
              <w:rPr>
                <w:rFonts w:ascii="Arial" w:hAnsi="Arial" w:cs="Arial"/>
                <w:sz w:val="20"/>
                <w:szCs w:val="20"/>
              </w:rPr>
              <w:t>Office of the Chief Technology Officer, HHS</w:t>
            </w:r>
            <w:r>
              <w:rPr>
                <w:rFonts w:ascii="Arial" w:hAnsi="Arial" w:cs="Arial"/>
                <w:sz w:val="20"/>
                <w:szCs w:val="20"/>
              </w:rPr>
              <w:t>) provided a summary of the draft reports due for completion by September 18</w:t>
            </w:r>
            <w:r w:rsidRPr="00861707">
              <w:rPr>
                <w:rFonts w:ascii="Arial" w:hAnsi="Arial" w:cs="Arial"/>
                <w:sz w:val="20"/>
                <w:szCs w:val="20"/>
                <w:vertAlign w:val="superscript"/>
              </w:rPr>
              <w:t>th</w:t>
            </w:r>
            <w:r>
              <w:rPr>
                <w:rFonts w:ascii="Arial" w:hAnsi="Arial" w:cs="Arial"/>
                <w:sz w:val="20"/>
                <w:szCs w:val="20"/>
              </w:rPr>
              <w:t>.  These reports need to be cleared through HHS for release, and that date is not clear.  The reports consist of a legacy analysis, a technical roadmap, and an analysis of alternatives.</w:t>
            </w:r>
          </w:p>
          <w:p w:rsidR="0061270F" w:rsidRDefault="0061270F" w:rsidP="0061270F">
            <w:pPr>
              <w:pStyle w:val="ListParagraph"/>
              <w:numPr>
                <w:ilvl w:val="0"/>
                <w:numId w:val="27"/>
              </w:numPr>
              <w:spacing w:after="160" w:line="259" w:lineRule="auto"/>
              <w:rPr>
                <w:rFonts w:ascii="Arial" w:hAnsi="Arial" w:cs="Arial"/>
                <w:sz w:val="20"/>
                <w:szCs w:val="20"/>
              </w:rPr>
            </w:pPr>
            <w:r w:rsidRPr="00861707">
              <w:rPr>
                <w:rFonts w:ascii="Arial" w:hAnsi="Arial" w:cs="Arial"/>
                <w:sz w:val="20"/>
                <w:szCs w:val="20"/>
              </w:rPr>
              <w:t>The reports will focus on 4 key areas: Modernization planning and execution, RPMS Standardization and early wins, Data Exchange, and Infrastructure</w:t>
            </w:r>
            <w:r>
              <w:rPr>
                <w:rFonts w:ascii="Arial" w:hAnsi="Arial" w:cs="Arial"/>
                <w:sz w:val="20"/>
                <w:szCs w:val="20"/>
              </w:rPr>
              <w:t>.</w:t>
            </w:r>
          </w:p>
          <w:p w:rsidR="0061270F" w:rsidRDefault="0061270F" w:rsidP="0061270F">
            <w:pPr>
              <w:pStyle w:val="ListParagraph"/>
              <w:numPr>
                <w:ilvl w:val="0"/>
                <w:numId w:val="27"/>
              </w:numPr>
              <w:spacing w:after="160" w:line="259" w:lineRule="auto"/>
              <w:rPr>
                <w:rFonts w:ascii="Arial" w:hAnsi="Arial" w:cs="Arial"/>
                <w:sz w:val="20"/>
                <w:szCs w:val="20"/>
              </w:rPr>
            </w:pPr>
            <w:r>
              <w:rPr>
                <w:rFonts w:ascii="Arial" w:hAnsi="Arial" w:cs="Arial"/>
                <w:sz w:val="20"/>
                <w:szCs w:val="20"/>
              </w:rPr>
              <w:t>The report currently identified certain Key Performance Indicators (KPI) that could be used to measure each of these 4 areas.  There was a notable lack of KPIs related to the revenue cycle.</w:t>
            </w:r>
          </w:p>
          <w:p w:rsidR="0061270F" w:rsidRDefault="0061270F" w:rsidP="0061270F">
            <w:pPr>
              <w:pStyle w:val="ListParagraph"/>
              <w:numPr>
                <w:ilvl w:val="0"/>
                <w:numId w:val="27"/>
              </w:numPr>
              <w:spacing w:after="160" w:line="259" w:lineRule="auto"/>
              <w:rPr>
                <w:rFonts w:ascii="Arial" w:hAnsi="Arial" w:cs="Arial"/>
                <w:sz w:val="20"/>
                <w:szCs w:val="20"/>
              </w:rPr>
            </w:pPr>
            <w:r>
              <w:rPr>
                <w:rFonts w:ascii="Arial" w:hAnsi="Arial" w:cs="Arial"/>
                <w:sz w:val="20"/>
                <w:szCs w:val="20"/>
              </w:rPr>
              <w:t>The draft project plan proposes that FY20 be a planning year, with FY21 focused on acquisition strategy (RFI, RFP, etc.) and actual implementation begin in FY22.</w:t>
            </w:r>
          </w:p>
          <w:p w:rsidR="0061270F" w:rsidRDefault="0061270F" w:rsidP="0061270F">
            <w:pPr>
              <w:pStyle w:val="ListParagraph"/>
              <w:numPr>
                <w:ilvl w:val="0"/>
                <w:numId w:val="27"/>
              </w:numPr>
              <w:spacing w:after="160" w:line="259" w:lineRule="auto"/>
              <w:rPr>
                <w:rFonts w:ascii="Arial" w:hAnsi="Arial" w:cs="Arial"/>
                <w:sz w:val="20"/>
                <w:szCs w:val="20"/>
              </w:rPr>
            </w:pPr>
            <w:r>
              <w:rPr>
                <w:rFonts w:ascii="Arial" w:hAnsi="Arial" w:cs="Arial"/>
                <w:sz w:val="20"/>
                <w:szCs w:val="20"/>
              </w:rPr>
              <w:t>IHS plans to release the reports through a “Dear Tribal Leader” letter as soon as HHS releases the reports, and seek feedback.</w:t>
            </w:r>
          </w:p>
          <w:p w:rsidR="0061270F" w:rsidRDefault="0061270F" w:rsidP="0061270F">
            <w:pPr>
              <w:pStyle w:val="ListParagraph"/>
              <w:numPr>
                <w:ilvl w:val="0"/>
                <w:numId w:val="27"/>
              </w:numPr>
              <w:spacing w:after="160" w:line="259" w:lineRule="auto"/>
              <w:rPr>
                <w:rFonts w:ascii="Arial" w:hAnsi="Arial" w:cs="Arial"/>
                <w:sz w:val="20"/>
                <w:szCs w:val="20"/>
              </w:rPr>
            </w:pPr>
            <w:r>
              <w:rPr>
                <w:rFonts w:ascii="Arial" w:hAnsi="Arial" w:cs="Arial"/>
                <w:sz w:val="20"/>
                <w:szCs w:val="20"/>
              </w:rPr>
              <w:t>HHS does recommend that IHS consider moving now on a data/analytics platform – and used the platform in Alaska (Health Catalyst) as an example of a 3</w:t>
            </w:r>
            <w:r w:rsidRPr="000575E3">
              <w:rPr>
                <w:rFonts w:ascii="Arial" w:hAnsi="Arial" w:cs="Arial"/>
                <w:sz w:val="20"/>
                <w:szCs w:val="20"/>
                <w:vertAlign w:val="superscript"/>
              </w:rPr>
              <w:t>rd</w:t>
            </w:r>
            <w:r>
              <w:rPr>
                <w:rFonts w:ascii="Arial" w:hAnsi="Arial" w:cs="Arial"/>
                <w:sz w:val="20"/>
                <w:szCs w:val="20"/>
              </w:rPr>
              <w:t xml:space="preserve"> party tool that provides rapid value to tribes.</w:t>
            </w:r>
          </w:p>
          <w:p w:rsidR="0061270F" w:rsidRDefault="0061270F" w:rsidP="0061270F">
            <w:pPr>
              <w:pStyle w:val="ListParagraph"/>
              <w:numPr>
                <w:ilvl w:val="0"/>
                <w:numId w:val="27"/>
              </w:numPr>
              <w:spacing w:after="160" w:line="259" w:lineRule="auto"/>
              <w:rPr>
                <w:rFonts w:ascii="Arial" w:hAnsi="Arial" w:cs="Arial"/>
                <w:sz w:val="20"/>
                <w:szCs w:val="20"/>
              </w:rPr>
            </w:pPr>
            <w:r w:rsidRPr="000575E3">
              <w:rPr>
                <w:rFonts w:ascii="Arial" w:hAnsi="Arial" w:cs="Arial"/>
                <w:sz w:val="20"/>
                <w:szCs w:val="20"/>
              </w:rPr>
              <w:t xml:space="preserve">NIHB proposed that a national meeting of tribes would be an appropriate methodology for </w:t>
            </w:r>
            <w:r w:rsidR="009908FF" w:rsidRPr="000575E3">
              <w:rPr>
                <w:rFonts w:ascii="Arial" w:hAnsi="Arial" w:cs="Arial"/>
                <w:sz w:val="20"/>
                <w:szCs w:val="20"/>
              </w:rPr>
              <w:t>diving more</w:t>
            </w:r>
            <w:r w:rsidRPr="000575E3">
              <w:rPr>
                <w:rFonts w:ascii="Arial" w:hAnsi="Arial" w:cs="Arial"/>
                <w:sz w:val="20"/>
                <w:szCs w:val="20"/>
              </w:rPr>
              <w:t xml:space="preserve"> deeply in the modernization effort and the report finding.  </w:t>
            </w:r>
            <w:r>
              <w:rPr>
                <w:rFonts w:ascii="Arial" w:hAnsi="Arial" w:cs="Arial"/>
                <w:sz w:val="20"/>
                <w:szCs w:val="20"/>
              </w:rPr>
              <w:t>ISAC members supported this idea and felt this could be a good vehicle on an annual or semi-annual basis for strengthening the communication on the modernization effort.</w:t>
            </w:r>
          </w:p>
          <w:p w:rsidR="0061270F" w:rsidRPr="00F04ABB" w:rsidRDefault="0061270F" w:rsidP="0061270F">
            <w:pPr>
              <w:rPr>
                <w:rFonts w:ascii="Arial" w:hAnsi="Arial" w:cs="Arial"/>
                <w:b/>
                <w:sz w:val="20"/>
                <w:szCs w:val="20"/>
              </w:rPr>
            </w:pPr>
            <w:r w:rsidRPr="00F04ABB">
              <w:rPr>
                <w:rFonts w:ascii="Arial" w:hAnsi="Arial" w:cs="Arial"/>
                <w:b/>
                <w:sz w:val="20"/>
                <w:szCs w:val="20"/>
              </w:rPr>
              <w:t xml:space="preserve">ISAC unanimously passed the following motion related to </w:t>
            </w:r>
            <w:r>
              <w:rPr>
                <w:rFonts w:ascii="Arial" w:hAnsi="Arial" w:cs="Arial"/>
                <w:b/>
                <w:sz w:val="20"/>
                <w:szCs w:val="20"/>
              </w:rPr>
              <w:t>the HHS report:</w:t>
            </w:r>
          </w:p>
          <w:p w:rsidR="0061270F" w:rsidRDefault="0061270F" w:rsidP="0061270F">
            <w:pPr>
              <w:rPr>
                <w:rFonts w:ascii="Arial" w:hAnsi="Arial" w:cs="Arial"/>
                <w:sz w:val="20"/>
                <w:szCs w:val="20"/>
              </w:rPr>
            </w:pPr>
          </w:p>
          <w:p w:rsidR="0061270F" w:rsidRPr="000575E3" w:rsidRDefault="0061270F" w:rsidP="0061270F">
            <w:pPr>
              <w:pStyle w:val="ListParagraph"/>
              <w:numPr>
                <w:ilvl w:val="0"/>
                <w:numId w:val="23"/>
              </w:numPr>
              <w:rPr>
                <w:rFonts w:ascii="Arial" w:hAnsi="Arial" w:cs="Arial"/>
                <w:sz w:val="20"/>
                <w:szCs w:val="20"/>
              </w:rPr>
            </w:pPr>
            <w:r w:rsidRPr="000575E3">
              <w:rPr>
                <w:rFonts w:ascii="Arial" w:hAnsi="Arial" w:cs="Arial"/>
                <w:sz w:val="20"/>
                <w:szCs w:val="20"/>
              </w:rPr>
              <w:t>ISAC recommends that IHS sponsor a national HIT Modernization Summit meeting for all tribes, to share information from the HHS report, discuss alternatives, and create an open space to share ideas and innovation.  This initiative should include broad input from stakeholders, including but not limited to representatives from HHS, IHS, VA, NIHB, TSGAC, DSTAC, Urban Indian Health Board and ISAC.</w:t>
            </w:r>
          </w:p>
          <w:p w:rsidR="0061270F" w:rsidRPr="000575E3" w:rsidRDefault="0061270F" w:rsidP="0061270F">
            <w:pPr>
              <w:pStyle w:val="ListParagraph"/>
              <w:numPr>
                <w:ilvl w:val="0"/>
                <w:numId w:val="23"/>
              </w:numPr>
              <w:rPr>
                <w:rFonts w:ascii="Arial" w:hAnsi="Arial" w:cs="Arial"/>
                <w:sz w:val="20"/>
                <w:szCs w:val="20"/>
              </w:rPr>
            </w:pPr>
            <w:r w:rsidRPr="000575E3">
              <w:rPr>
                <w:rFonts w:ascii="Arial" w:hAnsi="Arial" w:cs="Arial"/>
                <w:sz w:val="20"/>
                <w:szCs w:val="20"/>
              </w:rPr>
              <w:t>The ISAC continues to support the Health Modernization research Project, and recommends timely communication of findings to the IHS/Tribal/Urban community.   The ISAC asks to be informed on any tribal feedback.</w:t>
            </w:r>
          </w:p>
          <w:p w:rsidR="0061270F" w:rsidRPr="000575E3" w:rsidRDefault="0061270F" w:rsidP="0061270F">
            <w:pPr>
              <w:pStyle w:val="ListParagraph"/>
              <w:numPr>
                <w:ilvl w:val="0"/>
                <w:numId w:val="23"/>
              </w:numPr>
              <w:rPr>
                <w:rFonts w:ascii="Arial" w:hAnsi="Arial" w:cs="Arial"/>
                <w:sz w:val="20"/>
                <w:szCs w:val="20"/>
              </w:rPr>
            </w:pPr>
            <w:r w:rsidRPr="000575E3">
              <w:rPr>
                <w:rFonts w:ascii="Arial" w:hAnsi="Arial" w:cs="Arial"/>
                <w:sz w:val="20"/>
                <w:szCs w:val="20"/>
              </w:rPr>
              <w:t>The ISAC recommends that IHS begin to review third party data and analytics platforms as part of the FY2020 Health IT Modernization effort.</w:t>
            </w:r>
          </w:p>
        </w:tc>
      </w:tr>
      <w:tr w:rsidR="00317623" w:rsidTr="0061270F">
        <w:tc>
          <w:tcPr>
            <w:tcW w:w="2941" w:type="dxa"/>
          </w:tcPr>
          <w:p w:rsidR="00317623" w:rsidRPr="003A6DFB" w:rsidRDefault="000F21A2" w:rsidP="00317623">
            <w:pPr>
              <w:rPr>
                <w:rFonts w:ascii="Arial" w:hAnsi="Arial" w:cs="Arial"/>
                <w:sz w:val="20"/>
                <w:szCs w:val="20"/>
              </w:rPr>
            </w:pPr>
            <w:r>
              <w:rPr>
                <w:rFonts w:ascii="Arial" w:hAnsi="Arial" w:cs="Arial"/>
                <w:sz w:val="20"/>
                <w:szCs w:val="20"/>
              </w:rPr>
              <w:t xml:space="preserve">RPMS </w:t>
            </w:r>
            <w:r w:rsidR="0061270F">
              <w:rPr>
                <w:rFonts w:ascii="Arial" w:hAnsi="Arial" w:cs="Arial"/>
                <w:sz w:val="20"/>
                <w:szCs w:val="20"/>
              </w:rPr>
              <w:t>Development</w:t>
            </w:r>
          </w:p>
        </w:tc>
        <w:tc>
          <w:tcPr>
            <w:tcW w:w="8425" w:type="dxa"/>
          </w:tcPr>
          <w:p w:rsidR="000F21A2" w:rsidRDefault="0061270F" w:rsidP="000F21A2">
            <w:pPr>
              <w:pStyle w:val="ListParagraph"/>
              <w:numPr>
                <w:ilvl w:val="0"/>
                <w:numId w:val="26"/>
              </w:numPr>
              <w:spacing w:after="160" w:line="259" w:lineRule="auto"/>
              <w:rPr>
                <w:rFonts w:ascii="Arial" w:hAnsi="Arial" w:cs="Arial"/>
                <w:sz w:val="20"/>
                <w:szCs w:val="20"/>
              </w:rPr>
            </w:pPr>
            <w:r>
              <w:rPr>
                <w:rFonts w:ascii="Arial" w:hAnsi="Arial" w:cs="Arial"/>
                <w:sz w:val="20"/>
                <w:szCs w:val="20"/>
              </w:rPr>
              <w:t>The IHS CIO reported that IHS is w</w:t>
            </w:r>
            <w:r w:rsidR="000F21A2" w:rsidRPr="00B8705F">
              <w:rPr>
                <w:rFonts w:ascii="Arial" w:hAnsi="Arial" w:cs="Arial"/>
                <w:sz w:val="20"/>
                <w:szCs w:val="20"/>
              </w:rPr>
              <w:t xml:space="preserve">orking </w:t>
            </w:r>
            <w:r>
              <w:rPr>
                <w:rFonts w:ascii="Arial" w:hAnsi="Arial" w:cs="Arial"/>
                <w:sz w:val="20"/>
                <w:szCs w:val="20"/>
              </w:rPr>
              <w:t>to get RPMS meeting the 2015 Certified EHR Technology</w:t>
            </w:r>
            <w:r w:rsidR="000F21A2" w:rsidRPr="00B8705F">
              <w:rPr>
                <w:rFonts w:ascii="Arial" w:hAnsi="Arial" w:cs="Arial"/>
                <w:sz w:val="20"/>
                <w:szCs w:val="20"/>
              </w:rPr>
              <w:t xml:space="preserve"> </w:t>
            </w:r>
            <w:r>
              <w:rPr>
                <w:rFonts w:ascii="Arial" w:hAnsi="Arial" w:cs="Arial"/>
                <w:sz w:val="20"/>
                <w:szCs w:val="20"/>
              </w:rPr>
              <w:t>requirements.  This is being done module-by-module, and IHS has meet with the Office of the National Coordinator (ONC) to review the requirements.</w:t>
            </w:r>
          </w:p>
          <w:p w:rsidR="0061270F" w:rsidRDefault="0061270F" w:rsidP="000F21A2">
            <w:pPr>
              <w:pStyle w:val="ListParagraph"/>
              <w:numPr>
                <w:ilvl w:val="0"/>
                <w:numId w:val="26"/>
              </w:numPr>
              <w:spacing w:after="160" w:line="259" w:lineRule="auto"/>
              <w:rPr>
                <w:rFonts w:ascii="Arial" w:hAnsi="Arial" w:cs="Arial"/>
                <w:sz w:val="20"/>
                <w:szCs w:val="20"/>
              </w:rPr>
            </w:pPr>
            <w:r>
              <w:rPr>
                <w:rFonts w:ascii="Arial" w:hAnsi="Arial" w:cs="Arial"/>
                <w:sz w:val="20"/>
                <w:szCs w:val="20"/>
              </w:rPr>
              <w:t>ISAC expressed concern about not knowing a roadmap or cost for these efforts, especially at a time that we are also beginning to look at alternatives.</w:t>
            </w:r>
          </w:p>
          <w:p w:rsidR="0061270F" w:rsidRPr="00F04ABB" w:rsidRDefault="0061270F" w:rsidP="0061270F">
            <w:pPr>
              <w:rPr>
                <w:rFonts w:ascii="Arial" w:hAnsi="Arial" w:cs="Arial"/>
                <w:b/>
                <w:sz w:val="20"/>
                <w:szCs w:val="20"/>
              </w:rPr>
            </w:pPr>
            <w:r w:rsidRPr="00F04ABB">
              <w:rPr>
                <w:rFonts w:ascii="Arial" w:hAnsi="Arial" w:cs="Arial"/>
                <w:b/>
                <w:sz w:val="20"/>
                <w:szCs w:val="20"/>
              </w:rPr>
              <w:t xml:space="preserve">ISAC unanimously passed the following motion related to </w:t>
            </w:r>
            <w:r>
              <w:rPr>
                <w:rFonts w:ascii="Arial" w:hAnsi="Arial" w:cs="Arial"/>
                <w:b/>
                <w:sz w:val="20"/>
                <w:szCs w:val="20"/>
              </w:rPr>
              <w:t>RPMS Development</w:t>
            </w:r>
          </w:p>
          <w:p w:rsidR="0061270F" w:rsidRDefault="0061270F" w:rsidP="0061270F">
            <w:pPr>
              <w:rPr>
                <w:rFonts w:ascii="Arial" w:hAnsi="Arial" w:cs="Arial"/>
                <w:sz w:val="20"/>
                <w:szCs w:val="20"/>
              </w:rPr>
            </w:pPr>
          </w:p>
          <w:p w:rsidR="0061270F" w:rsidRPr="0061270F" w:rsidRDefault="0061270F" w:rsidP="0061270F">
            <w:pPr>
              <w:pStyle w:val="ListParagraph"/>
              <w:numPr>
                <w:ilvl w:val="0"/>
                <w:numId w:val="23"/>
              </w:numPr>
              <w:rPr>
                <w:rFonts w:ascii="Arial" w:hAnsi="Arial" w:cs="Arial"/>
                <w:sz w:val="20"/>
                <w:szCs w:val="20"/>
              </w:rPr>
            </w:pPr>
            <w:r w:rsidRPr="0061270F">
              <w:rPr>
                <w:rFonts w:ascii="Arial" w:hAnsi="Arial" w:cs="Arial"/>
                <w:sz w:val="20"/>
                <w:szCs w:val="20"/>
              </w:rPr>
              <w:lastRenderedPageBreak/>
              <w:t>IHS will provide ISAC members as soon as possible with a comprehensive roadmap for RPMS development that outlines the planned costs, dates and modules that will achieve compliance with specific Federal certifications and regulations.</w:t>
            </w:r>
          </w:p>
          <w:p w:rsidR="00686A34" w:rsidRPr="0061270F" w:rsidRDefault="00686A34" w:rsidP="0061270F">
            <w:pPr>
              <w:spacing w:after="160" w:line="259" w:lineRule="auto"/>
              <w:rPr>
                <w:rFonts w:ascii="Arial" w:hAnsi="Arial" w:cs="Arial"/>
                <w:sz w:val="20"/>
                <w:szCs w:val="20"/>
              </w:rPr>
            </w:pPr>
          </w:p>
        </w:tc>
      </w:tr>
      <w:tr w:rsidR="005723B8" w:rsidTr="0061270F">
        <w:tc>
          <w:tcPr>
            <w:tcW w:w="2941" w:type="dxa"/>
          </w:tcPr>
          <w:p w:rsidR="005723B8" w:rsidRDefault="000F21A2" w:rsidP="005723B8">
            <w:pPr>
              <w:rPr>
                <w:rFonts w:ascii="Arial" w:hAnsi="Arial" w:cs="Arial"/>
                <w:sz w:val="20"/>
                <w:szCs w:val="20"/>
              </w:rPr>
            </w:pPr>
            <w:r>
              <w:rPr>
                <w:rFonts w:ascii="Arial" w:hAnsi="Arial" w:cs="Arial"/>
                <w:sz w:val="20"/>
                <w:szCs w:val="20"/>
              </w:rPr>
              <w:lastRenderedPageBreak/>
              <w:t>Quality Report</w:t>
            </w:r>
          </w:p>
        </w:tc>
        <w:tc>
          <w:tcPr>
            <w:tcW w:w="8425" w:type="dxa"/>
          </w:tcPr>
          <w:p w:rsidR="005723B8" w:rsidRDefault="000F21A2" w:rsidP="00650D23">
            <w:pPr>
              <w:pStyle w:val="ListParagraph"/>
              <w:numPr>
                <w:ilvl w:val="0"/>
                <w:numId w:val="28"/>
              </w:numPr>
              <w:rPr>
                <w:rFonts w:ascii="Arial" w:hAnsi="Arial" w:cs="Arial"/>
                <w:sz w:val="20"/>
                <w:szCs w:val="20"/>
              </w:rPr>
            </w:pPr>
            <w:r>
              <w:rPr>
                <w:rFonts w:ascii="Arial" w:hAnsi="Arial" w:cs="Arial"/>
                <w:sz w:val="20"/>
                <w:szCs w:val="20"/>
              </w:rPr>
              <w:t>IHS has stood up the Office of Quality, led by Jonathan Merrill.</w:t>
            </w:r>
          </w:p>
          <w:p w:rsidR="000F21A2" w:rsidRDefault="000F21A2" w:rsidP="000F21A2">
            <w:pPr>
              <w:pStyle w:val="ListParagraph"/>
              <w:numPr>
                <w:ilvl w:val="0"/>
                <w:numId w:val="28"/>
              </w:numPr>
              <w:rPr>
                <w:rFonts w:ascii="Arial" w:hAnsi="Arial" w:cs="Arial"/>
                <w:sz w:val="20"/>
                <w:szCs w:val="20"/>
              </w:rPr>
            </w:pPr>
            <w:r>
              <w:rPr>
                <w:rFonts w:ascii="Arial" w:hAnsi="Arial" w:cs="Arial"/>
                <w:sz w:val="20"/>
                <w:szCs w:val="20"/>
              </w:rPr>
              <w:t>They are currently in conversation with OPHS and OMB to harmonize and update GPRA metrics.</w:t>
            </w:r>
          </w:p>
          <w:p w:rsidR="000F21A2" w:rsidRDefault="000F21A2" w:rsidP="000F21A2">
            <w:pPr>
              <w:pStyle w:val="ListParagraph"/>
              <w:numPr>
                <w:ilvl w:val="0"/>
                <w:numId w:val="28"/>
              </w:numPr>
              <w:rPr>
                <w:rFonts w:ascii="Arial" w:hAnsi="Arial" w:cs="Arial"/>
                <w:sz w:val="20"/>
                <w:szCs w:val="20"/>
              </w:rPr>
            </w:pPr>
            <w:r>
              <w:rPr>
                <w:rFonts w:ascii="Arial" w:hAnsi="Arial" w:cs="Arial"/>
                <w:sz w:val="20"/>
                <w:szCs w:val="20"/>
              </w:rPr>
              <w:t xml:space="preserve">It was unclear to ISAC membership specifically what measures are being </w:t>
            </w:r>
            <w:r w:rsidR="00861707">
              <w:rPr>
                <w:rFonts w:ascii="Arial" w:hAnsi="Arial" w:cs="Arial"/>
                <w:sz w:val="20"/>
                <w:szCs w:val="20"/>
              </w:rPr>
              <w:t>discussed</w:t>
            </w:r>
            <w:r>
              <w:rPr>
                <w:rFonts w:ascii="Arial" w:hAnsi="Arial" w:cs="Arial"/>
                <w:sz w:val="20"/>
                <w:szCs w:val="20"/>
              </w:rPr>
              <w:t xml:space="preserve"> and</w:t>
            </w:r>
            <w:r w:rsidR="00861707">
              <w:rPr>
                <w:rFonts w:ascii="Arial" w:hAnsi="Arial" w:cs="Arial"/>
                <w:sz w:val="20"/>
                <w:szCs w:val="20"/>
              </w:rPr>
              <w:t xml:space="preserve"> the timelines for these efforts.</w:t>
            </w:r>
          </w:p>
          <w:p w:rsidR="000F21A2" w:rsidRDefault="000F21A2" w:rsidP="000F21A2">
            <w:pPr>
              <w:pStyle w:val="ListParagraph"/>
              <w:ind w:left="420"/>
              <w:rPr>
                <w:rFonts w:ascii="Arial" w:hAnsi="Arial" w:cs="Arial"/>
                <w:sz w:val="20"/>
                <w:szCs w:val="20"/>
              </w:rPr>
            </w:pPr>
          </w:p>
          <w:p w:rsidR="000F21A2" w:rsidRPr="00F04ABB" w:rsidRDefault="000F21A2" w:rsidP="000F21A2">
            <w:pPr>
              <w:rPr>
                <w:rFonts w:ascii="Arial" w:hAnsi="Arial" w:cs="Arial"/>
                <w:b/>
                <w:sz w:val="20"/>
                <w:szCs w:val="20"/>
              </w:rPr>
            </w:pPr>
            <w:r w:rsidRPr="00F04ABB">
              <w:rPr>
                <w:rFonts w:ascii="Arial" w:hAnsi="Arial" w:cs="Arial"/>
                <w:b/>
                <w:sz w:val="20"/>
                <w:szCs w:val="20"/>
              </w:rPr>
              <w:t xml:space="preserve">ISAC unanimously passed the following motion related to </w:t>
            </w:r>
            <w:r w:rsidR="0061270F">
              <w:rPr>
                <w:rFonts w:ascii="Arial" w:hAnsi="Arial" w:cs="Arial"/>
                <w:b/>
                <w:sz w:val="20"/>
                <w:szCs w:val="20"/>
              </w:rPr>
              <w:t>Data Harmonization:</w:t>
            </w:r>
          </w:p>
          <w:p w:rsidR="000F21A2" w:rsidRDefault="000F21A2" w:rsidP="000F21A2">
            <w:pPr>
              <w:rPr>
                <w:rFonts w:ascii="Arial" w:hAnsi="Arial" w:cs="Arial"/>
                <w:sz w:val="20"/>
                <w:szCs w:val="20"/>
              </w:rPr>
            </w:pPr>
          </w:p>
          <w:p w:rsidR="000F21A2" w:rsidRPr="000F21A2" w:rsidRDefault="000F21A2" w:rsidP="0061270F">
            <w:pPr>
              <w:pStyle w:val="ListParagraph"/>
              <w:numPr>
                <w:ilvl w:val="0"/>
                <w:numId w:val="23"/>
              </w:numPr>
              <w:rPr>
                <w:rFonts w:ascii="Arial" w:hAnsi="Arial" w:cs="Arial"/>
                <w:sz w:val="20"/>
                <w:szCs w:val="20"/>
              </w:rPr>
            </w:pPr>
            <w:r w:rsidRPr="000F21A2">
              <w:rPr>
                <w:rFonts w:ascii="Arial" w:hAnsi="Arial" w:cs="Arial"/>
                <w:sz w:val="20"/>
                <w:szCs w:val="20"/>
              </w:rPr>
              <w:t>IHS will provide ISAC members with a roadmap on the communication efforts to harmonize quality measures.</w:t>
            </w:r>
          </w:p>
          <w:p w:rsidR="000F21A2" w:rsidRPr="000F21A2" w:rsidRDefault="000F21A2" w:rsidP="000F21A2">
            <w:pPr>
              <w:rPr>
                <w:rFonts w:ascii="Arial" w:hAnsi="Arial" w:cs="Arial"/>
                <w:sz w:val="20"/>
                <w:szCs w:val="20"/>
              </w:rPr>
            </w:pPr>
          </w:p>
        </w:tc>
      </w:tr>
    </w:tbl>
    <w:p w:rsidR="004E46F0" w:rsidRDefault="004E46F0" w:rsidP="004E46F0"/>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124"/>
      </w:tblGrid>
      <w:tr w:rsidR="004E46F0" w:rsidTr="00072CD8">
        <w:trPr>
          <w:trHeight w:val="374"/>
        </w:trPr>
        <w:tc>
          <w:tcPr>
            <w:tcW w:w="11592" w:type="dxa"/>
            <w:gridSpan w:val="2"/>
            <w:shd w:val="clear" w:color="auto" w:fill="D9D9D9"/>
            <w:vAlign w:val="center"/>
          </w:tcPr>
          <w:p w:rsidR="004E46F0" w:rsidRPr="00072CD8" w:rsidRDefault="004E46F0" w:rsidP="00072CD8">
            <w:pPr>
              <w:rPr>
                <w:rFonts w:ascii="Arial" w:hAnsi="Arial" w:cs="Arial"/>
                <w:i/>
              </w:rPr>
            </w:pPr>
            <w:r w:rsidRPr="003A6DFB">
              <w:rPr>
                <w:rFonts w:ascii="Arial" w:hAnsi="Arial" w:cs="Arial"/>
                <w:b/>
              </w:rPr>
              <w:t>RECOMMENDED TSGAC ACTION</w:t>
            </w:r>
            <w:r w:rsidR="00072CD8">
              <w:rPr>
                <w:rFonts w:ascii="Arial" w:hAnsi="Arial" w:cs="Arial"/>
                <w:b/>
              </w:rPr>
              <w:t xml:space="preserve"> </w:t>
            </w:r>
          </w:p>
        </w:tc>
      </w:tr>
      <w:tr w:rsidR="00C423A3" w:rsidTr="00FC57EB">
        <w:tc>
          <w:tcPr>
            <w:tcW w:w="468" w:type="dxa"/>
            <w:tcBorders>
              <w:right w:val="nil"/>
            </w:tcBorders>
          </w:tcPr>
          <w:p w:rsidR="00C423A3" w:rsidRDefault="001725F6" w:rsidP="004E46F0">
            <w:pPr>
              <w:rPr>
                <w:rFonts w:ascii="Arial" w:hAnsi="Arial" w:cs="Arial"/>
                <w:sz w:val="20"/>
                <w:szCs w:val="20"/>
              </w:rPr>
            </w:pPr>
            <w:r>
              <w:rPr>
                <w:rFonts w:ascii="Arial" w:hAnsi="Arial" w:cs="Arial"/>
                <w:sz w:val="20"/>
                <w:szCs w:val="20"/>
              </w:rPr>
              <w:t>1.</w:t>
            </w:r>
          </w:p>
          <w:p w:rsidR="000F4C68" w:rsidRPr="003A6DFB" w:rsidRDefault="000F4C68" w:rsidP="004E46F0">
            <w:pPr>
              <w:rPr>
                <w:rFonts w:ascii="Arial" w:hAnsi="Arial" w:cs="Arial"/>
                <w:sz w:val="20"/>
                <w:szCs w:val="20"/>
              </w:rPr>
            </w:pPr>
          </w:p>
        </w:tc>
        <w:tc>
          <w:tcPr>
            <w:tcW w:w="11124" w:type="dxa"/>
            <w:tcBorders>
              <w:left w:val="nil"/>
            </w:tcBorders>
          </w:tcPr>
          <w:p w:rsidR="00433EA1" w:rsidRDefault="002A7AC7" w:rsidP="00433EA1">
            <w:pPr>
              <w:rPr>
                <w:rFonts w:ascii="Arial" w:hAnsi="Arial" w:cs="Arial"/>
                <w:sz w:val="20"/>
                <w:szCs w:val="20"/>
              </w:rPr>
            </w:pPr>
            <w:r>
              <w:rPr>
                <w:rFonts w:ascii="Arial" w:hAnsi="Arial" w:cs="Arial"/>
                <w:sz w:val="20"/>
                <w:szCs w:val="20"/>
              </w:rPr>
              <w:t xml:space="preserve">TSGAC </w:t>
            </w:r>
            <w:r w:rsidR="00433EA1">
              <w:rPr>
                <w:rFonts w:ascii="Arial" w:hAnsi="Arial" w:cs="Arial"/>
                <w:sz w:val="20"/>
                <w:szCs w:val="20"/>
              </w:rPr>
              <w:t>must change the representative to ISAC.  The new charter requires the appointee to be “</w:t>
            </w:r>
            <w:r w:rsidR="00433EA1" w:rsidRPr="00433EA1">
              <w:rPr>
                <w:rFonts w:ascii="Arial" w:hAnsi="Arial" w:cs="Arial"/>
                <w:sz w:val="20"/>
                <w:szCs w:val="20"/>
              </w:rPr>
              <w:t>An elected Tribal Leader, representing their Tribe, who is a Tribal Self-Governance Ad</w:t>
            </w:r>
            <w:r w:rsidR="00433EA1">
              <w:rPr>
                <w:rFonts w:ascii="Arial" w:hAnsi="Arial" w:cs="Arial"/>
                <w:sz w:val="20"/>
                <w:szCs w:val="20"/>
              </w:rPr>
              <w:t xml:space="preserve">visory Committee (TSGAC) Member”.  The current representative, Stewart Ferguson, is not an elected tribal leader.  If TSGAC wishes, it is permissible under the new charter to have a designee attend in place of the elected tribal leader but ISAC must be notified of this.  The </w:t>
            </w:r>
            <w:r w:rsidR="004A298C">
              <w:rPr>
                <w:rFonts w:ascii="Arial" w:hAnsi="Arial" w:cs="Arial"/>
                <w:sz w:val="20"/>
                <w:szCs w:val="20"/>
              </w:rPr>
              <w:t xml:space="preserve">relevant </w:t>
            </w:r>
            <w:r w:rsidR="00433EA1">
              <w:rPr>
                <w:rFonts w:ascii="Arial" w:hAnsi="Arial" w:cs="Arial"/>
                <w:sz w:val="20"/>
                <w:szCs w:val="20"/>
              </w:rPr>
              <w:t>specifics around designees are:</w:t>
            </w:r>
          </w:p>
          <w:p w:rsidR="00433EA1" w:rsidRPr="00433EA1" w:rsidRDefault="00433EA1" w:rsidP="00433EA1">
            <w:pPr>
              <w:pStyle w:val="ListParagraph"/>
              <w:numPr>
                <w:ilvl w:val="0"/>
                <w:numId w:val="39"/>
              </w:numPr>
              <w:rPr>
                <w:rFonts w:ascii="Arial" w:hAnsi="Arial" w:cs="Arial"/>
                <w:sz w:val="20"/>
                <w:szCs w:val="20"/>
              </w:rPr>
            </w:pPr>
            <w:r w:rsidRPr="00433EA1">
              <w:rPr>
                <w:rFonts w:ascii="Arial" w:hAnsi="Arial" w:cs="Arial"/>
                <w:sz w:val="20"/>
                <w:szCs w:val="20"/>
              </w:rPr>
              <w:t>All ISAC members will designate, in writing, an alternate who will serve in an official voting capacity in the event the member is absent. An email notification to the ISAC co-chairs is acceptable.</w:t>
            </w:r>
          </w:p>
          <w:p w:rsidR="00C423A3" w:rsidRPr="003A6DFB" w:rsidRDefault="00433EA1" w:rsidP="004A298C">
            <w:pPr>
              <w:pStyle w:val="ListParagraph"/>
              <w:numPr>
                <w:ilvl w:val="1"/>
                <w:numId w:val="39"/>
              </w:numPr>
              <w:rPr>
                <w:rFonts w:ascii="Arial" w:hAnsi="Arial" w:cs="Arial"/>
                <w:sz w:val="20"/>
                <w:szCs w:val="20"/>
              </w:rPr>
            </w:pPr>
            <w:r w:rsidRPr="00433EA1">
              <w:rPr>
                <w:rFonts w:ascii="Arial" w:hAnsi="Arial" w:cs="Arial"/>
                <w:sz w:val="20"/>
                <w:szCs w:val="20"/>
              </w:rPr>
              <w:t>All Tribal Leader ISAC members may temporarily designate an alternate from within their own Tribe/Tribal Organization authorized to act on the Tribal Leader’s behalf.</w:t>
            </w:r>
            <w:r>
              <w:rPr>
                <w:rFonts w:ascii="Arial" w:hAnsi="Arial" w:cs="Arial"/>
                <w:sz w:val="20"/>
                <w:szCs w:val="20"/>
              </w:rPr>
              <w:t xml:space="preserve"> </w:t>
            </w:r>
          </w:p>
        </w:tc>
      </w:tr>
      <w:tr w:rsidR="00A206EC" w:rsidTr="00FC57EB">
        <w:tc>
          <w:tcPr>
            <w:tcW w:w="468" w:type="dxa"/>
            <w:tcBorders>
              <w:right w:val="nil"/>
            </w:tcBorders>
          </w:tcPr>
          <w:p w:rsidR="00A206EC" w:rsidRDefault="005307C3" w:rsidP="004E46F0">
            <w:pPr>
              <w:rPr>
                <w:rFonts w:ascii="Arial" w:hAnsi="Arial" w:cs="Arial"/>
                <w:sz w:val="20"/>
                <w:szCs w:val="20"/>
              </w:rPr>
            </w:pPr>
            <w:r>
              <w:rPr>
                <w:rFonts w:ascii="Arial" w:hAnsi="Arial" w:cs="Arial"/>
                <w:sz w:val="20"/>
                <w:szCs w:val="20"/>
              </w:rPr>
              <w:t>2.</w:t>
            </w:r>
          </w:p>
          <w:p w:rsidR="000F4C68" w:rsidRPr="003A6DFB" w:rsidRDefault="000F4C68" w:rsidP="004E46F0">
            <w:pPr>
              <w:rPr>
                <w:rFonts w:ascii="Arial" w:hAnsi="Arial" w:cs="Arial"/>
                <w:sz w:val="20"/>
                <w:szCs w:val="20"/>
              </w:rPr>
            </w:pPr>
          </w:p>
        </w:tc>
        <w:tc>
          <w:tcPr>
            <w:tcW w:w="11124" w:type="dxa"/>
            <w:tcBorders>
              <w:left w:val="nil"/>
            </w:tcBorders>
          </w:tcPr>
          <w:p w:rsidR="00A206EC" w:rsidRPr="003A6DFB" w:rsidRDefault="002A7AC7" w:rsidP="004A298C">
            <w:pPr>
              <w:rPr>
                <w:rFonts w:ascii="Arial" w:hAnsi="Arial" w:cs="Arial"/>
                <w:sz w:val="20"/>
                <w:szCs w:val="20"/>
              </w:rPr>
            </w:pPr>
            <w:r>
              <w:rPr>
                <w:rFonts w:ascii="Arial" w:hAnsi="Arial" w:cs="Arial"/>
                <w:sz w:val="20"/>
                <w:szCs w:val="20"/>
              </w:rPr>
              <w:t>TSGAC should</w:t>
            </w:r>
            <w:r w:rsidR="004A298C">
              <w:rPr>
                <w:rFonts w:ascii="Arial" w:hAnsi="Arial" w:cs="Arial"/>
                <w:sz w:val="20"/>
                <w:szCs w:val="20"/>
              </w:rPr>
              <w:t xml:space="preserve"> actively participate with NIHB and others in planning a national summit to discuss HIT Modernization.</w:t>
            </w:r>
          </w:p>
        </w:tc>
      </w:tr>
      <w:tr w:rsidR="00A206EC" w:rsidTr="00FC57EB">
        <w:tc>
          <w:tcPr>
            <w:tcW w:w="468" w:type="dxa"/>
            <w:tcBorders>
              <w:right w:val="nil"/>
            </w:tcBorders>
          </w:tcPr>
          <w:p w:rsidR="00A206EC" w:rsidRDefault="005307C3" w:rsidP="004E46F0">
            <w:pPr>
              <w:rPr>
                <w:rFonts w:ascii="Arial" w:hAnsi="Arial" w:cs="Arial"/>
                <w:sz w:val="20"/>
                <w:szCs w:val="20"/>
              </w:rPr>
            </w:pPr>
            <w:r>
              <w:rPr>
                <w:rFonts w:ascii="Arial" w:hAnsi="Arial" w:cs="Arial"/>
                <w:sz w:val="20"/>
                <w:szCs w:val="20"/>
              </w:rPr>
              <w:t>3.</w:t>
            </w:r>
          </w:p>
          <w:p w:rsidR="000F4C68" w:rsidRPr="003A6DFB" w:rsidRDefault="000F4C68" w:rsidP="004E46F0">
            <w:pPr>
              <w:rPr>
                <w:rFonts w:ascii="Arial" w:hAnsi="Arial" w:cs="Arial"/>
                <w:sz w:val="20"/>
                <w:szCs w:val="20"/>
              </w:rPr>
            </w:pPr>
          </w:p>
        </w:tc>
        <w:tc>
          <w:tcPr>
            <w:tcW w:w="11124" w:type="dxa"/>
            <w:tcBorders>
              <w:left w:val="nil"/>
            </w:tcBorders>
          </w:tcPr>
          <w:p w:rsidR="00A206EC" w:rsidRPr="003A6DFB" w:rsidRDefault="004A298C" w:rsidP="005F48B8">
            <w:pPr>
              <w:rPr>
                <w:rFonts w:ascii="Arial" w:hAnsi="Arial" w:cs="Arial"/>
                <w:sz w:val="20"/>
                <w:szCs w:val="20"/>
              </w:rPr>
            </w:pPr>
            <w:r>
              <w:rPr>
                <w:rFonts w:ascii="Arial" w:hAnsi="Arial" w:cs="Arial"/>
                <w:sz w:val="20"/>
                <w:szCs w:val="20"/>
              </w:rPr>
              <w:t>TSGAC should plan to review the HHS reports when they become available and provide feedback to IHS.  The Analysis of Alternatives may be the most interesting and/or contentious portion of the report and should be thoroughly reviewed.</w:t>
            </w:r>
          </w:p>
        </w:tc>
      </w:tr>
      <w:tr w:rsidR="007A652E" w:rsidTr="009D58EC">
        <w:trPr>
          <w:trHeight w:val="323"/>
        </w:trPr>
        <w:tc>
          <w:tcPr>
            <w:tcW w:w="468" w:type="dxa"/>
            <w:tcBorders>
              <w:right w:val="nil"/>
            </w:tcBorders>
          </w:tcPr>
          <w:p w:rsidR="007A652E" w:rsidRDefault="006D67BF" w:rsidP="004E46F0">
            <w:pPr>
              <w:rPr>
                <w:rFonts w:ascii="Arial" w:hAnsi="Arial" w:cs="Arial"/>
                <w:sz w:val="20"/>
                <w:szCs w:val="20"/>
              </w:rPr>
            </w:pPr>
            <w:r>
              <w:rPr>
                <w:rFonts w:ascii="Arial" w:hAnsi="Arial" w:cs="Arial"/>
                <w:sz w:val="20"/>
                <w:szCs w:val="20"/>
              </w:rPr>
              <w:t>4.</w:t>
            </w:r>
          </w:p>
        </w:tc>
        <w:tc>
          <w:tcPr>
            <w:tcW w:w="11124" w:type="dxa"/>
            <w:tcBorders>
              <w:left w:val="nil"/>
            </w:tcBorders>
          </w:tcPr>
          <w:p w:rsidR="009D58EC" w:rsidRPr="003A6DFB" w:rsidRDefault="004A298C" w:rsidP="008001A8">
            <w:pPr>
              <w:rPr>
                <w:rFonts w:ascii="Arial" w:hAnsi="Arial" w:cs="Arial"/>
                <w:sz w:val="20"/>
                <w:szCs w:val="20"/>
              </w:rPr>
            </w:pPr>
            <w:r>
              <w:rPr>
                <w:rFonts w:ascii="Arial" w:hAnsi="Arial" w:cs="Arial"/>
                <w:sz w:val="20"/>
                <w:szCs w:val="20"/>
              </w:rPr>
              <w:t>TSGAC should continue to question IHS about the use of patient data by other agencies, especially as IHS begins to review existing data agreements.</w:t>
            </w:r>
          </w:p>
        </w:tc>
      </w:tr>
      <w:tr w:rsidR="004A298C" w:rsidTr="009D58EC">
        <w:trPr>
          <w:trHeight w:val="323"/>
        </w:trPr>
        <w:tc>
          <w:tcPr>
            <w:tcW w:w="468" w:type="dxa"/>
            <w:tcBorders>
              <w:right w:val="nil"/>
            </w:tcBorders>
          </w:tcPr>
          <w:p w:rsidR="004A298C" w:rsidRDefault="004A298C" w:rsidP="004E46F0">
            <w:pPr>
              <w:rPr>
                <w:rFonts w:ascii="Arial" w:hAnsi="Arial" w:cs="Arial"/>
                <w:sz w:val="20"/>
                <w:szCs w:val="20"/>
              </w:rPr>
            </w:pPr>
            <w:r>
              <w:rPr>
                <w:rFonts w:ascii="Arial" w:hAnsi="Arial" w:cs="Arial"/>
                <w:sz w:val="20"/>
                <w:szCs w:val="20"/>
              </w:rPr>
              <w:t>5.</w:t>
            </w:r>
          </w:p>
        </w:tc>
        <w:tc>
          <w:tcPr>
            <w:tcW w:w="11124" w:type="dxa"/>
            <w:tcBorders>
              <w:left w:val="nil"/>
            </w:tcBorders>
          </w:tcPr>
          <w:p w:rsidR="004A298C" w:rsidRDefault="004A298C" w:rsidP="004A298C">
            <w:pPr>
              <w:rPr>
                <w:rFonts w:ascii="Arial" w:hAnsi="Arial" w:cs="Arial"/>
                <w:sz w:val="20"/>
                <w:szCs w:val="20"/>
              </w:rPr>
            </w:pPr>
            <w:r>
              <w:rPr>
                <w:rFonts w:ascii="Arial" w:hAnsi="Arial" w:cs="Arial"/>
                <w:sz w:val="20"/>
                <w:szCs w:val="20"/>
              </w:rPr>
              <w:t xml:space="preserve">TSGAC should continue to expect IHS to produce a plan for the FY20 modernization effort and funding.  </w:t>
            </w:r>
          </w:p>
        </w:tc>
      </w:tr>
    </w:tbl>
    <w:p w:rsidR="004E46F0" w:rsidRPr="001E5616" w:rsidRDefault="004E46F0" w:rsidP="004E46F0"/>
    <w:sectPr w:rsidR="004E46F0" w:rsidRPr="001E5616" w:rsidSect="004E46F0">
      <w:headerReference w:type="default" r:id="rId7"/>
      <w:footerReference w:type="default" r:id="rId8"/>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18" w:rsidRDefault="00F56D18">
      <w:r>
        <w:separator/>
      </w:r>
    </w:p>
  </w:endnote>
  <w:endnote w:type="continuationSeparator" w:id="0">
    <w:p w:rsidR="00F56D18" w:rsidRDefault="00F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F0" w:rsidRPr="009B2DFF" w:rsidRDefault="00557BB0">
    <w:pPr>
      <w:pStyle w:val="Footer"/>
      <w:rPr>
        <w:rFonts w:ascii="Arial" w:hAnsi="Arial" w:cs="Arial"/>
        <w:sz w:val="16"/>
        <w:szCs w:val="16"/>
      </w:rPr>
    </w:pPr>
    <w:r>
      <w:rPr>
        <w:rFonts w:ascii="Arial" w:hAnsi="Arial" w:cs="Arial"/>
        <w:sz w:val="16"/>
        <w:szCs w:val="16"/>
      </w:rPr>
      <w:t>U</w:t>
    </w:r>
    <w:r w:rsidR="007A652E">
      <w:rPr>
        <w:rFonts w:ascii="Arial" w:hAnsi="Arial" w:cs="Arial"/>
        <w:sz w:val="16"/>
        <w:szCs w:val="16"/>
      </w:rPr>
      <w:t xml:space="preserve">pdated </w:t>
    </w:r>
    <w:r w:rsidR="00015E80">
      <w:rPr>
        <w:rFonts w:ascii="Arial" w:hAnsi="Arial" w:cs="Arial"/>
        <w:sz w:val="16"/>
        <w:szCs w:val="16"/>
      </w:rPr>
      <w:t>June 30,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18" w:rsidRDefault="00F56D18">
      <w:r>
        <w:separator/>
      </w:r>
    </w:p>
  </w:footnote>
  <w:footnote w:type="continuationSeparator" w:id="0">
    <w:p w:rsidR="00F56D18" w:rsidRDefault="00F5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9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800"/>
    </w:tblGrid>
    <w:tr w:rsidR="007A652E" w:rsidTr="007A652E">
      <w:trPr>
        <w:trHeight w:val="370"/>
      </w:trPr>
      <w:tc>
        <w:tcPr>
          <w:tcW w:w="10800" w:type="dxa"/>
        </w:tcPr>
        <w:p w:rsidR="007A652E" w:rsidRDefault="007A652E" w:rsidP="006368F1">
          <w:pPr>
            <w:pStyle w:val="Title"/>
            <w:rPr>
              <w:rFonts w:ascii="Arial" w:hAnsi="Arial" w:cs="Arial"/>
              <w:b/>
              <w:bCs/>
            </w:rPr>
          </w:pPr>
          <w:r>
            <w:rPr>
              <w:rFonts w:ascii="Arial" w:hAnsi="Arial" w:cs="Arial"/>
              <w:b/>
              <w:bCs/>
            </w:rPr>
            <w:t>IHS TRIBAL SELF-GOVERNANCE ADVISORY COMMITTEE</w:t>
          </w:r>
        </w:p>
        <w:p w:rsidR="007A652E" w:rsidRDefault="007A652E" w:rsidP="006368F1">
          <w:pPr>
            <w:pStyle w:val="Title"/>
            <w:rPr>
              <w:rFonts w:ascii="Arial" w:hAnsi="Arial" w:cs="Arial"/>
              <w:b/>
              <w:bCs/>
              <w:sz w:val="16"/>
            </w:rPr>
          </w:pPr>
          <w:r>
            <w:rPr>
              <w:rFonts w:ascii="Arial" w:hAnsi="Arial" w:cs="Arial"/>
              <w:b/>
              <w:bCs/>
              <w:sz w:val="16"/>
            </w:rPr>
            <w:t xml:space="preserve">c/o Self-Governance Communication and Education </w:t>
          </w:r>
        </w:p>
        <w:p w:rsidR="00A824FF" w:rsidRPr="00A824FF" w:rsidRDefault="00A824FF" w:rsidP="00A824FF">
          <w:pPr>
            <w:pStyle w:val="Title"/>
            <w:rPr>
              <w:rFonts w:ascii="Arial" w:hAnsi="Arial" w:cs="Arial"/>
              <w:b/>
              <w:bCs/>
              <w:sz w:val="16"/>
            </w:rPr>
          </w:pPr>
          <w:r w:rsidRPr="00A824FF">
            <w:rPr>
              <w:rFonts w:ascii="Arial" w:hAnsi="Arial" w:cs="Arial"/>
              <w:b/>
              <w:bCs/>
              <w:sz w:val="16"/>
            </w:rPr>
            <w:t>P.O. Box 1734, McAlester, Oklahoma 74501</w:t>
          </w:r>
        </w:p>
        <w:p w:rsidR="007A652E" w:rsidRDefault="00A824FF" w:rsidP="00A824FF">
          <w:pPr>
            <w:pStyle w:val="Title"/>
            <w:rPr>
              <w:rFonts w:ascii="Arial" w:hAnsi="Arial" w:cs="Arial"/>
              <w:b/>
              <w:bCs/>
              <w:sz w:val="20"/>
            </w:rPr>
          </w:pPr>
          <w:r w:rsidRPr="00A824FF">
            <w:rPr>
              <w:rFonts w:ascii="Arial" w:hAnsi="Arial" w:cs="Arial"/>
              <w:b/>
              <w:bCs/>
              <w:sz w:val="16"/>
            </w:rPr>
            <w:t>Telephone (918) 302-0</w:t>
          </w:r>
          <w:r>
            <w:rPr>
              <w:rFonts w:ascii="Arial" w:hAnsi="Arial" w:cs="Arial"/>
              <w:b/>
              <w:bCs/>
              <w:sz w:val="16"/>
            </w:rPr>
            <w:t>252 ~ Facsimile (918) 423-7639 ~</w:t>
          </w:r>
          <w:r w:rsidRPr="00A824FF">
            <w:rPr>
              <w:rFonts w:ascii="Arial" w:hAnsi="Arial" w:cs="Arial"/>
              <w:b/>
              <w:bCs/>
              <w:sz w:val="16"/>
            </w:rPr>
            <w:t xml:space="preserve"> Website: www.tribalselfgov.org</w:t>
          </w:r>
        </w:p>
      </w:tc>
    </w:tr>
  </w:tbl>
  <w:p w:rsidR="007A652E" w:rsidRDefault="007A652E" w:rsidP="007A652E">
    <w:pPr>
      <w:spacing w:before="100" w:beforeAutospacing="1" w:after="100" w:afterAutospacing="1"/>
      <w:contextualSpacing/>
      <w:jc w:val="right"/>
      <w:rPr>
        <w:i/>
        <w:iCs/>
      </w:rPr>
    </w:pPr>
  </w:p>
  <w:p w:rsidR="004E46F0" w:rsidRPr="004B71E1" w:rsidRDefault="004E46F0" w:rsidP="004E46F0">
    <w:pPr>
      <w:jc w:val="center"/>
      <w:rPr>
        <w:rFonts w:ascii="Arial" w:hAnsi="Arial" w:cs="Arial"/>
        <w:b/>
        <w:smallCaps/>
        <w:sz w:val="28"/>
        <w:szCs w:val="28"/>
        <w:u w:val="single"/>
      </w:rPr>
    </w:pPr>
    <w:r w:rsidRPr="004B71E1">
      <w:rPr>
        <w:rFonts w:ascii="Arial" w:hAnsi="Arial" w:cs="Arial"/>
        <w:b/>
        <w:smallCaps/>
        <w:sz w:val="28"/>
        <w:szCs w:val="28"/>
        <w:u w:val="single"/>
      </w:rPr>
      <w:t>Workgroup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569"/>
    <w:multiLevelType w:val="hybridMultilevel"/>
    <w:tmpl w:val="ECB686B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C416EB"/>
    <w:multiLevelType w:val="hybridMultilevel"/>
    <w:tmpl w:val="21BA4D5C"/>
    <w:lvl w:ilvl="0" w:tplc="9520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751"/>
    <w:multiLevelType w:val="hybridMultilevel"/>
    <w:tmpl w:val="63B46C3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08E3903"/>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0EF5B5A"/>
    <w:multiLevelType w:val="hybridMultilevel"/>
    <w:tmpl w:val="980A60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7B99"/>
    <w:multiLevelType w:val="hybridMultilevel"/>
    <w:tmpl w:val="EE3AF03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6C945C8"/>
    <w:multiLevelType w:val="hybridMultilevel"/>
    <w:tmpl w:val="DA744D92"/>
    <w:lvl w:ilvl="0" w:tplc="B552B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165C7"/>
    <w:multiLevelType w:val="hybridMultilevel"/>
    <w:tmpl w:val="BE4C15E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CE2505D"/>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CF6495D"/>
    <w:multiLevelType w:val="hybridMultilevel"/>
    <w:tmpl w:val="8F1C9FB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D684495"/>
    <w:multiLevelType w:val="hybridMultilevel"/>
    <w:tmpl w:val="7C4282FE"/>
    <w:lvl w:ilvl="0" w:tplc="952092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1724"/>
    <w:multiLevelType w:val="hybridMultilevel"/>
    <w:tmpl w:val="0804C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346669"/>
    <w:multiLevelType w:val="hybridMultilevel"/>
    <w:tmpl w:val="28F0D578"/>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6B36377"/>
    <w:multiLevelType w:val="hybridMultilevel"/>
    <w:tmpl w:val="52CE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D58C5"/>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F521EE1"/>
    <w:multiLevelType w:val="hybridMultilevel"/>
    <w:tmpl w:val="C58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30F"/>
    <w:multiLevelType w:val="hybridMultilevel"/>
    <w:tmpl w:val="23CCCFB0"/>
    <w:lvl w:ilvl="0" w:tplc="9520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8721B"/>
    <w:multiLevelType w:val="hybridMultilevel"/>
    <w:tmpl w:val="CC1CC444"/>
    <w:lvl w:ilvl="0" w:tplc="873A23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03CCD"/>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6D65E50"/>
    <w:multiLevelType w:val="hybridMultilevel"/>
    <w:tmpl w:val="F1D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55E2D"/>
    <w:multiLevelType w:val="hybridMultilevel"/>
    <w:tmpl w:val="B8F0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B2C38"/>
    <w:multiLevelType w:val="hybridMultilevel"/>
    <w:tmpl w:val="273EF3BA"/>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2904426"/>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2AC0679"/>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5AD402F"/>
    <w:multiLevelType w:val="hybridMultilevel"/>
    <w:tmpl w:val="21BA4D5C"/>
    <w:lvl w:ilvl="0" w:tplc="9520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15F26"/>
    <w:multiLevelType w:val="hybridMultilevel"/>
    <w:tmpl w:val="263668DE"/>
    <w:lvl w:ilvl="0" w:tplc="9520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9753E"/>
    <w:multiLevelType w:val="hybridMultilevel"/>
    <w:tmpl w:val="C2D88EBE"/>
    <w:lvl w:ilvl="0" w:tplc="7F0EA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C80377"/>
    <w:multiLevelType w:val="hybridMultilevel"/>
    <w:tmpl w:val="E21E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128A3"/>
    <w:multiLevelType w:val="hybridMultilevel"/>
    <w:tmpl w:val="21BA4D5C"/>
    <w:lvl w:ilvl="0" w:tplc="9520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E6542"/>
    <w:multiLevelType w:val="hybridMultilevel"/>
    <w:tmpl w:val="742C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F29BF"/>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5950F9D"/>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C740848"/>
    <w:multiLevelType w:val="hybridMultilevel"/>
    <w:tmpl w:val="B8C2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B3A23"/>
    <w:multiLevelType w:val="hybridMultilevel"/>
    <w:tmpl w:val="97C4CFD6"/>
    <w:lvl w:ilvl="0" w:tplc="95209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B056CAA"/>
    <w:multiLevelType w:val="hybridMultilevel"/>
    <w:tmpl w:val="20E44682"/>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BD401E0"/>
    <w:multiLevelType w:val="hybridMultilevel"/>
    <w:tmpl w:val="EE62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26455"/>
    <w:multiLevelType w:val="hybridMultilevel"/>
    <w:tmpl w:val="7F5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B6B3D"/>
    <w:multiLevelType w:val="hybridMultilevel"/>
    <w:tmpl w:val="935CAEB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86932F3"/>
    <w:multiLevelType w:val="hybridMultilevel"/>
    <w:tmpl w:val="615A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D08AF"/>
    <w:multiLevelType w:val="hybridMultilevel"/>
    <w:tmpl w:val="85A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7"/>
  </w:num>
  <w:num w:numId="4">
    <w:abstractNumId w:val="20"/>
  </w:num>
  <w:num w:numId="5">
    <w:abstractNumId w:val="6"/>
  </w:num>
  <w:num w:numId="6">
    <w:abstractNumId w:val="26"/>
  </w:num>
  <w:num w:numId="7">
    <w:abstractNumId w:val="39"/>
  </w:num>
  <w:num w:numId="8">
    <w:abstractNumId w:val="19"/>
  </w:num>
  <w:num w:numId="9">
    <w:abstractNumId w:val="36"/>
  </w:num>
  <w:num w:numId="10">
    <w:abstractNumId w:val="3"/>
  </w:num>
  <w:num w:numId="11">
    <w:abstractNumId w:val="31"/>
  </w:num>
  <w:num w:numId="12">
    <w:abstractNumId w:val="14"/>
  </w:num>
  <w:num w:numId="13">
    <w:abstractNumId w:val="23"/>
  </w:num>
  <w:num w:numId="14">
    <w:abstractNumId w:val="33"/>
  </w:num>
  <w:num w:numId="15">
    <w:abstractNumId w:val="30"/>
  </w:num>
  <w:num w:numId="16">
    <w:abstractNumId w:val="8"/>
  </w:num>
  <w:num w:numId="17">
    <w:abstractNumId w:val="22"/>
  </w:num>
  <w:num w:numId="18">
    <w:abstractNumId w:val="18"/>
  </w:num>
  <w:num w:numId="19">
    <w:abstractNumId w:val="4"/>
  </w:num>
  <w:num w:numId="20">
    <w:abstractNumId w:val="29"/>
  </w:num>
  <w:num w:numId="21">
    <w:abstractNumId w:val="15"/>
  </w:num>
  <w:num w:numId="22">
    <w:abstractNumId w:val="16"/>
  </w:num>
  <w:num w:numId="23">
    <w:abstractNumId w:val="25"/>
  </w:num>
  <w:num w:numId="24">
    <w:abstractNumId w:val="34"/>
  </w:num>
  <w:num w:numId="25">
    <w:abstractNumId w:val="10"/>
  </w:num>
  <w:num w:numId="26">
    <w:abstractNumId w:val="2"/>
  </w:num>
  <w:num w:numId="27">
    <w:abstractNumId w:val="21"/>
  </w:num>
  <w:num w:numId="28">
    <w:abstractNumId w:val="37"/>
  </w:num>
  <w:num w:numId="29">
    <w:abstractNumId w:val="0"/>
  </w:num>
  <w:num w:numId="30">
    <w:abstractNumId w:val="5"/>
  </w:num>
  <w:num w:numId="31">
    <w:abstractNumId w:val="7"/>
  </w:num>
  <w:num w:numId="32">
    <w:abstractNumId w:val="9"/>
  </w:num>
  <w:num w:numId="33">
    <w:abstractNumId w:val="12"/>
  </w:num>
  <w:num w:numId="34">
    <w:abstractNumId w:val="11"/>
  </w:num>
  <w:num w:numId="35">
    <w:abstractNumId w:val="13"/>
  </w:num>
  <w:num w:numId="36">
    <w:abstractNumId w:val="28"/>
  </w:num>
  <w:num w:numId="37">
    <w:abstractNumId w:val="1"/>
  </w:num>
  <w:num w:numId="38">
    <w:abstractNumId w:val="24"/>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16"/>
    <w:rsid w:val="00015E80"/>
    <w:rsid w:val="00043D1B"/>
    <w:rsid w:val="00046971"/>
    <w:rsid w:val="000575E3"/>
    <w:rsid w:val="00057E7A"/>
    <w:rsid w:val="000605B9"/>
    <w:rsid w:val="00062274"/>
    <w:rsid w:val="00072CD8"/>
    <w:rsid w:val="00073831"/>
    <w:rsid w:val="00082896"/>
    <w:rsid w:val="000A2A4F"/>
    <w:rsid w:val="000C5C09"/>
    <w:rsid w:val="000E1CBE"/>
    <w:rsid w:val="000E3175"/>
    <w:rsid w:val="000F21A2"/>
    <w:rsid w:val="000F4C68"/>
    <w:rsid w:val="000F77A2"/>
    <w:rsid w:val="00107A19"/>
    <w:rsid w:val="0013775E"/>
    <w:rsid w:val="0016693C"/>
    <w:rsid w:val="00167141"/>
    <w:rsid w:val="00167182"/>
    <w:rsid w:val="00170A83"/>
    <w:rsid w:val="001725F6"/>
    <w:rsid w:val="00174F90"/>
    <w:rsid w:val="00186C08"/>
    <w:rsid w:val="001A0242"/>
    <w:rsid w:val="001D5E80"/>
    <w:rsid w:val="001E2F8A"/>
    <w:rsid w:val="001E5616"/>
    <w:rsid w:val="001E68A6"/>
    <w:rsid w:val="001F5BA1"/>
    <w:rsid w:val="0022231E"/>
    <w:rsid w:val="002338DA"/>
    <w:rsid w:val="0024407E"/>
    <w:rsid w:val="0029642C"/>
    <w:rsid w:val="00297A89"/>
    <w:rsid w:val="002A33A7"/>
    <w:rsid w:val="002A7AC7"/>
    <w:rsid w:val="002B0ECF"/>
    <w:rsid w:val="002B3AB2"/>
    <w:rsid w:val="002B4FE7"/>
    <w:rsid w:val="002C3107"/>
    <w:rsid w:val="002E5FBA"/>
    <w:rsid w:val="002F2151"/>
    <w:rsid w:val="002F452A"/>
    <w:rsid w:val="00302391"/>
    <w:rsid w:val="0031248E"/>
    <w:rsid w:val="00317623"/>
    <w:rsid w:val="00343A7F"/>
    <w:rsid w:val="00346DCD"/>
    <w:rsid w:val="00350909"/>
    <w:rsid w:val="0035721F"/>
    <w:rsid w:val="003652ED"/>
    <w:rsid w:val="00366E09"/>
    <w:rsid w:val="003673C8"/>
    <w:rsid w:val="00380AC5"/>
    <w:rsid w:val="00386B90"/>
    <w:rsid w:val="00395802"/>
    <w:rsid w:val="00397335"/>
    <w:rsid w:val="003A0D5D"/>
    <w:rsid w:val="003A6DFB"/>
    <w:rsid w:val="003C2A94"/>
    <w:rsid w:val="003C38BD"/>
    <w:rsid w:val="003F0864"/>
    <w:rsid w:val="003F08FA"/>
    <w:rsid w:val="003F0C08"/>
    <w:rsid w:val="003F31A8"/>
    <w:rsid w:val="004030DD"/>
    <w:rsid w:val="00411405"/>
    <w:rsid w:val="00414F72"/>
    <w:rsid w:val="00433899"/>
    <w:rsid w:val="00433D26"/>
    <w:rsid w:val="00433EA1"/>
    <w:rsid w:val="004418C2"/>
    <w:rsid w:val="0045051B"/>
    <w:rsid w:val="00453B7C"/>
    <w:rsid w:val="00461456"/>
    <w:rsid w:val="00491CCF"/>
    <w:rsid w:val="00497137"/>
    <w:rsid w:val="004A1F95"/>
    <w:rsid w:val="004A2372"/>
    <w:rsid w:val="004A298C"/>
    <w:rsid w:val="004D1756"/>
    <w:rsid w:val="004D4824"/>
    <w:rsid w:val="004E46F0"/>
    <w:rsid w:val="004F5031"/>
    <w:rsid w:val="00504367"/>
    <w:rsid w:val="00527342"/>
    <w:rsid w:val="005307C3"/>
    <w:rsid w:val="00535228"/>
    <w:rsid w:val="00542E45"/>
    <w:rsid w:val="00544287"/>
    <w:rsid w:val="005452A4"/>
    <w:rsid w:val="00554A98"/>
    <w:rsid w:val="00557BB0"/>
    <w:rsid w:val="0056464E"/>
    <w:rsid w:val="005723B8"/>
    <w:rsid w:val="0057486D"/>
    <w:rsid w:val="00580A9E"/>
    <w:rsid w:val="005837F0"/>
    <w:rsid w:val="00592177"/>
    <w:rsid w:val="005A0420"/>
    <w:rsid w:val="005B16B7"/>
    <w:rsid w:val="005B42F0"/>
    <w:rsid w:val="005C36D3"/>
    <w:rsid w:val="005C4AE0"/>
    <w:rsid w:val="005C6AE3"/>
    <w:rsid w:val="005D0674"/>
    <w:rsid w:val="005F2ABC"/>
    <w:rsid w:val="005F472D"/>
    <w:rsid w:val="005F48B8"/>
    <w:rsid w:val="005F76A6"/>
    <w:rsid w:val="0061270F"/>
    <w:rsid w:val="00621668"/>
    <w:rsid w:val="0062272F"/>
    <w:rsid w:val="00624E38"/>
    <w:rsid w:val="0064744C"/>
    <w:rsid w:val="00650D23"/>
    <w:rsid w:val="006601B1"/>
    <w:rsid w:val="00661F95"/>
    <w:rsid w:val="00676660"/>
    <w:rsid w:val="00676826"/>
    <w:rsid w:val="00686A34"/>
    <w:rsid w:val="00691E10"/>
    <w:rsid w:val="00692944"/>
    <w:rsid w:val="00695C60"/>
    <w:rsid w:val="00695D92"/>
    <w:rsid w:val="006B15D0"/>
    <w:rsid w:val="006B1BF2"/>
    <w:rsid w:val="006B4C9F"/>
    <w:rsid w:val="006C6818"/>
    <w:rsid w:val="006D2E5F"/>
    <w:rsid w:val="006D382D"/>
    <w:rsid w:val="006D67BF"/>
    <w:rsid w:val="006E02E0"/>
    <w:rsid w:val="006E0510"/>
    <w:rsid w:val="006E5285"/>
    <w:rsid w:val="00726069"/>
    <w:rsid w:val="00727E56"/>
    <w:rsid w:val="00730BA1"/>
    <w:rsid w:val="00732181"/>
    <w:rsid w:val="00735FB0"/>
    <w:rsid w:val="00781100"/>
    <w:rsid w:val="00781EEC"/>
    <w:rsid w:val="007A0120"/>
    <w:rsid w:val="007A319C"/>
    <w:rsid w:val="007A652E"/>
    <w:rsid w:val="007B2A2E"/>
    <w:rsid w:val="007B7D8F"/>
    <w:rsid w:val="007B7F59"/>
    <w:rsid w:val="007C328B"/>
    <w:rsid w:val="007D6DAD"/>
    <w:rsid w:val="007F4FE1"/>
    <w:rsid w:val="007F54B7"/>
    <w:rsid w:val="008001A8"/>
    <w:rsid w:val="0080672B"/>
    <w:rsid w:val="008145F3"/>
    <w:rsid w:val="0083735D"/>
    <w:rsid w:val="0084154B"/>
    <w:rsid w:val="008468D4"/>
    <w:rsid w:val="00846F87"/>
    <w:rsid w:val="00852CAC"/>
    <w:rsid w:val="00856D65"/>
    <w:rsid w:val="00857413"/>
    <w:rsid w:val="00861707"/>
    <w:rsid w:val="00883ABA"/>
    <w:rsid w:val="008925D1"/>
    <w:rsid w:val="008A000E"/>
    <w:rsid w:val="008A717F"/>
    <w:rsid w:val="008D3D6B"/>
    <w:rsid w:val="008F194F"/>
    <w:rsid w:val="008F2D40"/>
    <w:rsid w:val="008F3DEF"/>
    <w:rsid w:val="0090026F"/>
    <w:rsid w:val="0090248D"/>
    <w:rsid w:val="00905A33"/>
    <w:rsid w:val="00915EFE"/>
    <w:rsid w:val="00922E01"/>
    <w:rsid w:val="00935ABB"/>
    <w:rsid w:val="0093664A"/>
    <w:rsid w:val="00974331"/>
    <w:rsid w:val="00975053"/>
    <w:rsid w:val="009908FF"/>
    <w:rsid w:val="00991406"/>
    <w:rsid w:val="009A310C"/>
    <w:rsid w:val="009A7151"/>
    <w:rsid w:val="009B3014"/>
    <w:rsid w:val="009B5284"/>
    <w:rsid w:val="009C5B58"/>
    <w:rsid w:val="009D58EC"/>
    <w:rsid w:val="009E039F"/>
    <w:rsid w:val="00A11ED9"/>
    <w:rsid w:val="00A206EC"/>
    <w:rsid w:val="00A602B5"/>
    <w:rsid w:val="00A66854"/>
    <w:rsid w:val="00A71214"/>
    <w:rsid w:val="00A73468"/>
    <w:rsid w:val="00A75424"/>
    <w:rsid w:val="00A824FF"/>
    <w:rsid w:val="00A94D1F"/>
    <w:rsid w:val="00AB6E07"/>
    <w:rsid w:val="00AF0B4F"/>
    <w:rsid w:val="00AF2B5A"/>
    <w:rsid w:val="00AF5E15"/>
    <w:rsid w:val="00B03517"/>
    <w:rsid w:val="00B07E9D"/>
    <w:rsid w:val="00B12C39"/>
    <w:rsid w:val="00B13FDB"/>
    <w:rsid w:val="00B24A24"/>
    <w:rsid w:val="00B35DD6"/>
    <w:rsid w:val="00B47635"/>
    <w:rsid w:val="00BE775B"/>
    <w:rsid w:val="00BF0FA3"/>
    <w:rsid w:val="00C015F3"/>
    <w:rsid w:val="00C10D13"/>
    <w:rsid w:val="00C1121A"/>
    <w:rsid w:val="00C423A3"/>
    <w:rsid w:val="00C546EE"/>
    <w:rsid w:val="00C8497E"/>
    <w:rsid w:val="00CA184D"/>
    <w:rsid w:val="00CA6368"/>
    <w:rsid w:val="00CF202D"/>
    <w:rsid w:val="00D22783"/>
    <w:rsid w:val="00D36BA3"/>
    <w:rsid w:val="00D43225"/>
    <w:rsid w:val="00D47AF6"/>
    <w:rsid w:val="00D70C99"/>
    <w:rsid w:val="00D7792E"/>
    <w:rsid w:val="00DA20EA"/>
    <w:rsid w:val="00DE32BB"/>
    <w:rsid w:val="00E048E8"/>
    <w:rsid w:val="00E06727"/>
    <w:rsid w:val="00E06B73"/>
    <w:rsid w:val="00E22D08"/>
    <w:rsid w:val="00E3063E"/>
    <w:rsid w:val="00E47EFA"/>
    <w:rsid w:val="00E619D5"/>
    <w:rsid w:val="00E676D9"/>
    <w:rsid w:val="00E67C66"/>
    <w:rsid w:val="00E90F43"/>
    <w:rsid w:val="00E94703"/>
    <w:rsid w:val="00E95707"/>
    <w:rsid w:val="00EA6E1E"/>
    <w:rsid w:val="00EB4203"/>
    <w:rsid w:val="00EE55CB"/>
    <w:rsid w:val="00EE5C62"/>
    <w:rsid w:val="00EF1EC5"/>
    <w:rsid w:val="00F02FD5"/>
    <w:rsid w:val="00F04ABB"/>
    <w:rsid w:val="00F44A88"/>
    <w:rsid w:val="00F4641F"/>
    <w:rsid w:val="00F56D18"/>
    <w:rsid w:val="00F61B80"/>
    <w:rsid w:val="00F628BD"/>
    <w:rsid w:val="00F71459"/>
    <w:rsid w:val="00F7689A"/>
    <w:rsid w:val="00F8389A"/>
    <w:rsid w:val="00F8708E"/>
    <w:rsid w:val="00FC1CFA"/>
    <w:rsid w:val="00FC57EB"/>
    <w:rsid w:val="00FD2814"/>
    <w:rsid w:val="00FD2AFC"/>
    <w:rsid w:val="00F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4E7A85-5182-4DAD-A997-60FF0AB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616"/>
    <w:pPr>
      <w:tabs>
        <w:tab w:val="center" w:pos="4320"/>
        <w:tab w:val="right" w:pos="8640"/>
      </w:tabs>
    </w:pPr>
  </w:style>
  <w:style w:type="paragraph" w:styleId="Footer">
    <w:name w:val="footer"/>
    <w:basedOn w:val="Normal"/>
    <w:rsid w:val="001E5616"/>
    <w:pPr>
      <w:tabs>
        <w:tab w:val="center" w:pos="4320"/>
        <w:tab w:val="right" w:pos="8640"/>
      </w:tabs>
    </w:pPr>
  </w:style>
  <w:style w:type="table" w:styleId="TableGrid">
    <w:name w:val="Table Grid"/>
    <w:basedOn w:val="TableNormal"/>
    <w:rsid w:val="001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232"/>
    <w:rPr>
      <w:rFonts w:ascii="Tahoma" w:hAnsi="Tahoma" w:cs="Tahoma"/>
      <w:sz w:val="16"/>
      <w:szCs w:val="16"/>
    </w:rPr>
  </w:style>
  <w:style w:type="character" w:styleId="Hyperlink">
    <w:name w:val="Hyperlink"/>
    <w:basedOn w:val="DefaultParagraphFont"/>
    <w:rsid w:val="00E6739F"/>
    <w:rPr>
      <w:color w:val="0000FF"/>
      <w:u w:val="single"/>
    </w:rPr>
  </w:style>
  <w:style w:type="paragraph" w:customStyle="1" w:styleId="Default">
    <w:name w:val="Default"/>
    <w:rsid w:val="00C015F3"/>
    <w:pPr>
      <w:autoSpaceDE w:val="0"/>
      <w:autoSpaceDN w:val="0"/>
      <w:adjustRightInd w:val="0"/>
    </w:pPr>
    <w:rPr>
      <w:rFonts w:ascii="Century" w:hAnsi="Century" w:cs="Century"/>
      <w:color w:val="000000"/>
      <w:sz w:val="24"/>
      <w:szCs w:val="24"/>
    </w:rPr>
  </w:style>
  <w:style w:type="paragraph" w:styleId="Title">
    <w:name w:val="Title"/>
    <w:basedOn w:val="Normal"/>
    <w:link w:val="TitleChar"/>
    <w:qFormat/>
    <w:rsid w:val="007A652E"/>
    <w:pPr>
      <w:jc w:val="center"/>
    </w:pPr>
    <w:rPr>
      <w:sz w:val="32"/>
      <w:szCs w:val="20"/>
    </w:rPr>
  </w:style>
  <w:style w:type="character" w:customStyle="1" w:styleId="TitleChar">
    <w:name w:val="Title Char"/>
    <w:basedOn w:val="DefaultParagraphFont"/>
    <w:link w:val="Title"/>
    <w:rsid w:val="007A652E"/>
    <w:rPr>
      <w:sz w:val="32"/>
    </w:rPr>
  </w:style>
  <w:style w:type="paragraph" w:styleId="ListParagraph">
    <w:name w:val="List Paragraph"/>
    <w:basedOn w:val="Normal"/>
    <w:uiPriority w:val="34"/>
    <w:qFormat/>
    <w:rsid w:val="0016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7665</Characters>
  <Application>Microsoft Office Word</Application>
  <DocSecurity>4</DocSecurity>
  <Lines>365</Lines>
  <Paragraphs>153</Paragraphs>
  <ScaleCrop>false</ScaleCrop>
  <HeadingPairs>
    <vt:vector size="2" baseType="variant">
      <vt:variant>
        <vt:lpstr>Title</vt:lpstr>
      </vt:variant>
      <vt:variant>
        <vt:i4>1</vt:i4>
      </vt:variant>
    </vt:vector>
  </HeadingPairs>
  <TitlesOfParts>
    <vt:vector size="1" baseType="lpstr">
      <vt:lpstr>NAME OF COMMITTEE (please check which Committee this report will be for)</vt:lpstr>
    </vt:vector>
  </TitlesOfParts>
  <Company>ANMC</Company>
  <LinksUpToDate>false</LinksUpToDate>
  <CharactersWithSpaces>8918</CharactersWithSpaces>
  <SharedDoc>false</SharedDoc>
  <HLinks>
    <vt:vector size="6" baseType="variant">
      <vt:variant>
        <vt:i4>589862</vt:i4>
      </vt:variant>
      <vt:variant>
        <vt:i4>0</vt:i4>
      </vt:variant>
      <vt:variant>
        <vt:i4>0</vt:i4>
      </vt:variant>
      <vt:variant>
        <vt:i4>5</vt:i4>
      </vt:variant>
      <vt:variant>
        <vt:lpwstr>mailto:mkinley@tribalselfgov.org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 (please check which Committee this report will be for)</dc:title>
  <dc:creator>wmurray</dc:creator>
  <cp:lastModifiedBy>Jay Spaan</cp:lastModifiedBy>
  <cp:revision>2</cp:revision>
  <cp:lastPrinted>2012-10-09T15:31:00Z</cp:lastPrinted>
  <dcterms:created xsi:type="dcterms:W3CDTF">2019-09-30T08:40:00Z</dcterms:created>
  <dcterms:modified xsi:type="dcterms:W3CDTF">2019-09-30T08:40:00Z</dcterms:modified>
</cp:coreProperties>
</file>