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2B873B" w14:textId="77777777" w:rsidR="00C24E2D" w:rsidRDefault="00C24E2D">
      <w:pPr>
        <w:jc w:val="center"/>
        <w:rPr>
          <w:b/>
          <w:bCs/>
          <w:u w:val="single"/>
        </w:rPr>
      </w:pPr>
    </w:p>
    <w:p w14:paraId="2EEFC6B0" w14:textId="77777777" w:rsidR="00C24E2D" w:rsidRDefault="003E4F6A">
      <w:pPr>
        <w:jc w:val="center"/>
        <w:rPr>
          <w:b/>
          <w:bCs/>
          <w:u w:val="single"/>
        </w:rPr>
      </w:pPr>
      <w:r>
        <w:rPr>
          <w:b/>
          <w:bCs/>
          <w:u w:val="single"/>
        </w:rPr>
        <w:t>TSGAC ACA/IHCIA Project Priority Issues</w:t>
      </w:r>
    </w:p>
    <w:p w14:paraId="3FA62920" w14:textId="4CC35D53" w:rsidR="00C24E2D" w:rsidRDefault="003E4F6A">
      <w:pPr>
        <w:jc w:val="center"/>
        <w:rPr>
          <w:bCs/>
        </w:rPr>
      </w:pPr>
      <w:r>
        <w:rPr>
          <w:bCs/>
        </w:rPr>
        <w:t>February 1</w:t>
      </w:r>
      <w:r w:rsidR="0010426F">
        <w:rPr>
          <w:bCs/>
        </w:rPr>
        <w:t>7</w:t>
      </w:r>
      <w:r>
        <w:rPr>
          <w:bCs/>
        </w:rPr>
        <w:t>, 2021</w:t>
      </w:r>
    </w:p>
    <w:tbl>
      <w:tblPr>
        <w:tblStyle w:val="GridTable4-Accent3"/>
        <w:tblpPr w:leftFromText="180" w:rightFromText="180" w:vertAnchor="page" w:horzAnchor="margin" w:tblpXSpec="center" w:tblpY="2668"/>
        <w:tblW w:w="13135" w:type="dxa"/>
        <w:tblLook w:val="04A0" w:firstRow="1" w:lastRow="0" w:firstColumn="1" w:lastColumn="0" w:noHBand="0" w:noVBand="1"/>
      </w:tblPr>
      <w:tblGrid>
        <w:gridCol w:w="2250"/>
        <w:gridCol w:w="1016"/>
        <w:gridCol w:w="2404"/>
        <w:gridCol w:w="3600"/>
        <w:gridCol w:w="3865"/>
      </w:tblGrid>
      <w:tr w:rsidR="00C24E2D" w14:paraId="3765B34B" w14:textId="77777777" w:rsidTr="00990B04">
        <w:trPr>
          <w:cnfStyle w:val="100000000000" w:firstRow="1" w:lastRow="0" w:firstColumn="0" w:lastColumn="0" w:oddVBand="0" w:evenVBand="0" w:oddHBand="0" w:evenHBand="0" w:firstRowFirstColumn="0" w:firstRowLastColumn="0" w:lastRowFirstColumn="0" w:lastRowLastColumn="0"/>
          <w:cantSplit/>
          <w:trHeight w:val="784"/>
          <w:tblHeader/>
        </w:trPr>
        <w:tc>
          <w:tcPr>
            <w:cnfStyle w:val="001000000000" w:firstRow="0" w:lastRow="0" w:firstColumn="1" w:lastColumn="0" w:oddVBand="0" w:evenVBand="0" w:oddHBand="0" w:evenHBand="0" w:firstRowFirstColumn="0" w:firstRowLastColumn="0" w:lastRowFirstColumn="0" w:lastRowLastColumn="0"/>
            <w:tcW w:w="3266" w:type="dxa"/>
            <w:gridSpan w:val="2"/>
          </w:tcPr>
          <w:p w14:paraId="64848CA3" w14:textId="77777777" w:rsidR="00C24E2D" w:rsidRDefault="00C24E2D">
            <w:pPr>
              <w:jc w:val="center"/>
              <w:rPr>
                <w:b w:val="0"/>
                <w:bCs w:val="0"/>
                <w:color w:val="000000" w:themeColor="text1"/>
              </w:rPr>
            </w:pPr>
          </w:p>
          <w:p w14:paraId="4C142527" w14:textId="77777777" w:rsidR="00C24E2D" w:rsidRDefault="003E4F6A">
            <w:pPr>
              <w:jc w:val="center"/>
              <w:rPr>
                <w:color w:val="000000" w:themeColor="text1"/>
              </w:rPr>
            </w:pPr>
            <w:r>
              <w:rPr>
                <w:color w:val="000000" w:themeColor="text1"/>
              </w:rPr>
              <w:t>TOPIC</w:t>
            </w:r>
          </w:p>
        </w:tc>
        <w:tc>
          <w:tcPr>
            <w:tcW w:w="2404" w:type="dxa"/>
          </w:tcPr>
          <w:p w14:paraId="3BE21E23" w14:textId="77777777" w:rsidR="00C24E2D" w:rsidRDefault="00C24E2D">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6CAAFDCD" w14:textId="77777777" w:rsidR="00C24E2D" w:rsidRDefault="003E4F6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ISSUE DESCRIPTION</w:t>
            </w:r>
          </w:p>
        </w:tc>
        <w:tc>
          <w:tcPr>
            <w:tcW w:w="3600" w:type="dxa"/>
          </w:tcPr>
          <w:p w14:paraId="76D7A08C" w14:textId="77777777" w:rsidR="00C24E2D" w:rsidRDefault="00C24E2D">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49371D76" w14:textId="77777777" w:rsidR="00C24E2D" w:rsidRDefault="003E4F6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DATES, UPDATES, &amp; ACTIONS</w:t>
            </w:r>
          </w:p>
        </w:tc>
        <w:tc>
          <w:tcPr>
            <w:tcW w:w="3865" w:type="dxa"/>
          </w:tcPr>
          <w:p w14:paraId="6272026B" w14:textId="77777777" w:rsidR="00C24E2D" w:rsidRDefault="00C24E2D">
            <w:pPr>
              <w:jc w:val="center"/>
              <w:cnfStyle w:val="100000000000" w:firstRow="1" w:lastRow="0" w:firstColumn="0" w:lastColumn="0" w:oddVBand="0" w:evenVBand="0" w:oddHBand="0" w:evenHBand="0" w:firstRowFirstColumn="0" w:firstRowLastColumn="0" w:lastRowFirstColumn="0" w:lastRowLastColumn="0"/>
              <w:rPr>
                <w:b w:val="0"/>
                <w:bCs w:val="0"/>
                <w:color w:val="000000" w:themeColor="text1"/>
              </w:rPr>
            </w:pPr>
          </w:p>
          <w:p w14:paraId="4AD3B8CF" w14:textId="77777777" w:rsidR="00C24E2D" w:rsidRDefault="003E4F6A">
            <w:pPr>
              <w:jc w:val="center"/>
              <w:cnfStyle w:val="100000000000" w:firstRow="1" w:lastRow="0" w:firstColumn="0" w:lastColumn="0" w:oddVBand="0" w:evenVBand="0" w:oddHBand="0" w:evenHBand="0" w:firstRowFirstColumn="0" w:firstRowLastColumn="0" w:lastRowFirstColumn="0" w:lastRowLastColumn="0"/>
              <w:rPr>
                <w:color w:val="000000" w:themeColor="text1"/>
              </w:rPr>
            </w:pPr>
            <w:r>
              <w:rPr>
                <w:color w:val="000000" w:themeColor="text1"/>
              </w:rPr>
              <w:t>NOTES</w:t>
            </w:r>
          </w:p>
        </w:tc>
      </w:tr>
      <w:tr w:rsidR="00C24E2D" w14:paraId="6B4AB01E" w14:textId="77777777" w:rsidTr="00990B04">
        <w:trPr>
          <w:cnfStyle w:val="000000100000" w:firstRow="0" w:lastRow="0" w:firstColumn="0" w:lastColumn="0" w:oddVBand="0" w:evenVBand="0" w:oddHBand="1" w:evenHBand="0" w:firstRowFirstColumn="0" w:firstRowLastColumn="0" w:lastRowFirstColumn="0" w:lastRowLastColumn="0"/>
          <w:cantSplit/>
          <w:trHeight w:val="374"/>
        </w:trPr>
        <w:tc>
          <w:tcPr>
            <w:cnfStyle w:val="001000000000" w:firstRow="0" w:lastRow="0" w:firstColumn="1" w:lastColumn="0" w:oddVBand="0" w:evenVBand="0" w:oddHBand="0" w:evenHBand="0" w:firstRowFirstColumn="0" w:firstRowLastColumn="0" w:lastRowFirstColumn="0" w:lastRowLastColumn="0"/>
            <w:tcW w:w="2250" w:type="dxa"/>
          </w:tcPr>
          <w:p w14:paraId="539C12C5" w14:textId="77777777" w:rsidR="00C24E2D" w:rsidRDefault="003E4F6A">
            <w:pPr>
              <w:rPr>
                <w:b w:val="0"/>
                <w:bCs w:val="0"/>
                <w:sz w:val="22"/>
                <w:szCs w:val="22"/>
              </w:rPr>
            </w:pPr>
            <w:r>
              <w:rPr>
                <w:sz w:val="22"/>
                <w:szCs w:val="22"/>
              </w:rPr>
              <w:t>COVID-19 Testing Reimbursement</w:t>
            </w:r>
          </w:p>
          <w:p w14:paraId="2588F732" w14:textId="77777777" w:rsidR="00C24E2D" w:rsidRDefault="003E4F6A">
            <w:pPr>
              <w:rPr>
                <w:b w:val="0"/>
                <w:bCs w:val="0"/>
                <w:i/>
                <w:iCs/>
                <w:sz w:val="22"/>
                <w:szCs w:val="22"/>
              </w:rPr>
            </w:pPr>
            <w:r>
              <w:rPr>
                <w:b w:val="0"/>
                <w:bCs w:val="0"/>
                <w:i/>
                <w:iCs/>
                <w:sz w:val="22"/>
                <w:szCs w:val="22"/>
              </w:rPr>
              <w:t>CMS</w:t>
            </w:r>
          </w:p>
        </w:tc>
        <w:tc>
          <w:tcPr>
            <w:tcW w:w="3420" w:type="dxa"/>
            <w:gridSpan w:val="2"/>
          </w:tcPr>
          <w:p w14:paraId="127FF4A9" w14:textId="77777777" w:rsidR="00C24E2D" w:rsidRDefault="003E4F6A">
            <w:pPr>
              <w:cnfStyle w:val="000000100000" w:firstRow="0" w:lastRow="0" w:firstColumn="0" w:lastColumn="0" w:oddVBand="0" w:evenVBand="0" w:oddHBand="1" w:evenHBand="0" w:firstRowFirstColumn="0" w:firstRowLastColumn="0" w:lastRowFirstColumn="0" w:lastRowLastColumn="0"/>
              <w:rPr>
                <w:sz w:val="21"/>
                <w:szCs w:val="21"/>
              </w:rPr>
            </w:pPr>
            <w:r>
              <w:rPr>
                <w:b/>
                <w:bCs/>
                <w:i/>
                <w:iCs/>
                <w:sz w:val="21"/>
                <w:szCs w:val="21"/>
              </w:rPr>
              <w:t>Issue:</w:t>
            </w:r>
            <w:r>
              <w:rPr>
                <w:sz w:val="21"/>
                <w:szCs w:val="21"/>
              </w:rPr>
              <w:t xml:space="preserve"> Medicare is not reimbursing tribal hospitals for COVID-19 testing at the OMB encounter rate, and instead paying only a nominal collection fee. </w:t>
            </w:r>
          </w:p>
          <w:p w14:paraId="51D9B369" w14:textId="77777777" w:rsidR="00C24E2D" w:rsidRDefault="00C24E2D">
            <w:pPr>
              <w:cnfStyle w:val="000000100000" w:firstRow="0" w:lastRow="0" w:firstColumn="0" w:lastColumn="0" w:oddVBand="0" w:evenVBand="0" w:oddHBand="1" w:evenHBand="0" w:firstRowFirstColumn="0" w:firstRowLastColumn="0" w:lastRowFirstColumn="0" w:lastRowLastColumn="0"/>
              <w:rPr>
                <w:sz w:val="21"/>
                <w:szCs w:val="21"/>
              </w:rPr>
            </w:pPr>
          </w:p>
          <w:p w14:paraId="27C4AFF1" w14:textId="77777777" w:rsidR="00C24E2D" w:rsidRDefault="003E4F6A">
            <w:pPr>
              <w:cnfStyle w:val="000000100000" w:firstRow="0" w:lastRow="0" w:firstColumn="0" w:lastColumn="0" w:oddVBand="0" w:evenVBand="0" w:oddHBand="1" w:evenHBand="0" w:firstRowFirstColumn="0" w:firstRowLastColumn="0" w:lastRowFirstColumn="0" w:lastRowLastColumn="0"/>
              <w:rPr>
                <w:sz w:val="21"/>
                <w:szCs w:val="21"/>
              </w:rPr>
            </w:pPr>
            <w:r>
              <w:rPr>
                <w:b/>
                <w:i/>
                <w:sz w:val="21"/>
                <w:szCs w:val="21"/>
              </w:rPr>
              <w:t xml:space="preserve">Issue: </w:t>
            </w:r>
            <w:r>
              <w:rPr>
                <w:sz w:val="21"/>
                <w:szCs w:val="21"/>
              </w:rPr>
              <w:t xml:space="preserve">Price Transparency Relation (CMS-9912-IFC) requires all providers to publish the cash price of COVID-19 diagnostic tests. There is currently no exception. </w:t>
            </w:r>
          </w:p>
          <w:p w14:paraId="3F9E8080" w14:textId="77777777" w:rsidR="00C24E2D" w:rsidRDefault="00C24E2D">
            <w:pPr>
              <w:cnfStyle w:val="000000100000" w:firstRow="0" w:lastRow="0" w:firstColumn="0" w:lastColumn="0" w:oddVBand="0" w:evenVBand="0" w:oddHBand="1" w:evenHBand="0" w:firstRowFirstColumn="0" w:firstRowLastColumn="0" w:lastRowFirstColumn="0" w:lastRowLastColumn="0"/>
              <w:rPr>
                <w:sz w:val="21"/>
                <w:szCs w:val="21"/>
              </w:rPr>
            </w:pPr>
          </w:p>
          <w:p w14:paraId="3EB48112" w14:textId="77777777" w:rsidR="00C24E2D" w:rsidRDefault="003E4F6A">
            <w:pPr>
              <w:cnfStyle w:val="000000100000" w:firstRow="0" w:lastRow="0" w:firstColumn="0" w:lastColumn="0" w:oddVBand="0" w:evenVBand="0" w:oddHBand="1" w:evenHBand="0" w:firstRowFirstColumn="0" w:firstRowLastColumn="0" w:lastRowFirstColumn="0" w:lastRowLastColumn="0"/>
              <w:rPr>
                <w:sz w:val="21"/>
                <w:szCs w:val="21"/>
              </w:rPr>
            </w:pPr>
            <w:r>
              <w:rPr>
                <w:b/>
                <w:i/>
                <w:sz w:val="21"/>
                <w:szCs w:val="21"/>
              </w:rPr>
              <w:t>TTAG Medicare Priority:</w:t>
            </w:r>
            <w:r>
              <w:rPr>
                <w:sz w:val="21"/>
                <w:szCs w:val="21"/>
              </w:rPr>
              <w:t xml:space="preserve">  Increase Reimbursement to Tribal Hospitals for COVID-19 Testing</w:t>
            </w:r>
          </w:p>
        </w:tc>
        <w:tc>
          <w:tcPr>
            <w:tcW w:w="3600" w:type="dxa"/>
          </w:tcPr>
          <w:p w14:paraId="2DC86FD3" w14:textId="77777777" w:rsidR="00C24E2D" w:rsidRDefault="003E4F6A" w:rsidP="001E21D9">
            <w:pPr>
              <w:pStyle w:val="ListParagraph"/>
              <w:numPr>
                <w:ilvl w:val="0"/>
                <w:numId w:val="12"/>
              </w:numPr>
              <w:ind w:left="72" w:hanging="180"/>
              <w:cnfStyle w:val="000000100000" w:firstRow="0" w:lastRow="0" w:firstColumn="0" w:lastColumn="0" w:oddVBand="0" w:evenVBand="0" w:oddHBand="1" w:evenHBand="0" w:firstRowFirstColumn="0" w:firstRowLastColumn="0" w:lastRowFirstColumn="0" w:lastRowLastColumn="0"/>
              <w:rPr>
                <w:b/>
                <w:bCs/>
                <w:i/>
                <w:sz w:val="21"/>
                <w:szCs w:val="21"/>
              </w:rPr>
            </w:pPr>
            <w:r>
              <w:rPr>
                <w:b/>
                <w:bCs/>
                <w:i/>
                <w:sz w:val="21"/>
                <w:szCs w:val="21"/>
              </w:rPr>
              <w:t xml:space="preserve">Tribal Request: </w:t>
            </w:r>
          </w:p>
          <w:p w14:paraId="7D76B4C9" w14:textId="77777777" w:rsidR="00C24E2D" w:rsidRDefault="003E4F6A">
            <w:pPr>
              <w:spacing w:after="200"/>
              <w:cnfStyle w:val="000000100000" w:firstRow="0" w:lastRow="0" w:firstColumn="0" w:lastColumn="0" w:oddVBand="0" w:evenVBand="0" w:oddHBand="1" w:evenHBand="0" w:firstRowFirstColumn="0" w:firstRowLastColumn="0" w:lastRowFirstColumn="0" w:lastRowLastColumn="0"/>
              <w:rPr>
                <w:rFonts w:eastAsia="Calibri" w:cstheme="minorHAnsi"/>
                <w:sz w:val="21"/>
              </w:rPr>
            </w:pPr>
            <w:r>
              <w:rPr>
                <w:rFonts w:eastAsia="Calibri" w:cstheme="minorHAnsi"/>
                <w:sz w:val="21"/>
              </w:rPr>
              <w:t>CMS should clarify that IHS/Tribal should be eligible for reimbursement at the encounter rate, since the facility continues to bear the same costs for collection, processing, analyzing, handling and follow-up on the results.</w:t>
            </w:r>
          </w:p>
          <w:p w14:paraId="4E0279A1" w14:textId="77777777" w:rsidR="00C24E2D" w:rsidRDefault="001E21D9">
            <w:pPr>
              <w:spacing w:after="200"/>
              <w:cnfStyle w:val="000000100000" w:firstRow="0" w:lastRow="0" w:firstColumn="0" w:lastColumn="0" w:oddVBand="0" w:evenVBand="0" w:oddHBand="1" w:evenHBand="0" w:firstRowFirstColumn="0" w:firstRowLastColumn="0" w:lastRowFirstColumn="0" w:lastRowLastColumn="0"/>
              <w:rPr>
                <w:rFonts w:eastAsia="Calibri" w:cstheme="minorHAnsi"/>
                <w:b/>
                <w:sz w:val="21"/>
              </w:rPr>
            </w:pPr>
            <w:hyperlink r:id="rId8" w:history="1">
              <w:r w:rsidR="003E4F6A">
                <w:rPr>
                  <w:rStyle w:val="Hyperlink"/>
                  <w:rFonts w:eastAsia="Calibri" w:cstheme="minorHAnsi"/>
                  <w:b/>
                  <w:sz w:val="21"/>
                </w:rPr>
                <w:t>CMS Coverage and Reimbursement of COVID-19 Vaccine Toolkit</w:t>
              </w:r>
            </w:hyperlink>
          </w:p>
          <w:p w14:paraId="50010402" w14:textId="77777777" w:rsidR="00C24E2D" w:rsidRDefault="001E21D9">
            <w:pPr>
              <w:spacing w:after="200"/>
              <w:cnfStyle w:val="000000100000" w:firstRow="0" w:lastRow="0" w:firstColumn="0" w:lastColumn="0" w:oddVBand="0" w:evenVBand="0" w:oddHBand="1" w:evenHBand="0" w:firstRowFirstColumn="0" w:firstRowLastColumn="0" w:lastRowFirstColumn="0" w:lastRowLastColumn="0"/>
              <w:rPr>
                <w:rFonts w:eastAsia="Calibri" w:cstheme="minorHAnsi"/>
                <w:b/>
                <w:sz w:val="21"/>
              </w:rPr>
            </w:pPr>
            <w:hyperlink r:id="rId9" w:history="1">
              <w:r w:rsidR="003E4F6A">
                <w:rPr>
                  <w:rStyle w:val="Hyperlink"/>
                  <w:rFonts w:eastAsia="Calibri" w:cstheme="minorHAnsi"/>
                  <w:b/>
                  <w:sz w:val="21"/>
                </w:rPr>
                <w:t>CMS COVID-19 Medicare FFS Billing</w:t>
              </w:r>
            </w:hyperlink>
            <w:r w:rsidR="003E4F6A">
              <w:rPr>
                <w:rFonts w:eastAsia="Calibri" w:cstheme="minorHAnsi"/>
                <w:b/>
                <w:sz w:val="21"/>
              </w:rPr>
              <w:t xml:space="preserve"> (12/9/20)</w:t>
            </w:r>
          </w:p>
          <w:p w14:paraId="5203977E" w14:textId="2C8BB66F" w:rsidR="00C24E2D" w:rsidRDefault="007577AE" w:rsidP="001E21D9">
            <w:pPr>
              <w:pStyle w:val="ListParagraph"/>
              <w:numPr>
                <w:ilvl w:val="0"/>
                <w:numId w:val="12"/>
              </w:numPr>
              <w:ind w:left="71" w:hanging="180"/>
              <w:cnfStyle w:val="000000100000" w:firstRow="0" w:lastRow="0" w:firstColumn="0" w:lastColumn="0" w:oddVBand="0" w:evenVBand="0" w:oddHBand="1" w:evenHBand="0" w:firstRowFirstColumn="0" w:firstRowLastColumn="0" w:lastRowFirstColumn="0" w:lastRowLastColumn="0"/>
              <w:rPr>
                <w:b/>
                <w:bCs/>
                <w:sz w:val="21"/>
                <w:szCs w:val="21"/>
              </w:rPr>
            </w:pPr>
            <w:r>
              <w:rPr>
                <w:b/>
                <w:bCs/>
                <w:color w:val="000000" w:themeColor="text1"/>
                <w:sz w:val="21"/>
                <w:szCs w:val="21"/>
              </w:rPr>
              <w:t>1/4/2021</w:t>
            </w:r>
            <w:r w:rsidR="003E4F6A">
              <w:rPr>
                <w:b/>
                <w:bCs/>
                <w:color w:val="000000" w:themeColor="text1"/>
                <w:sz w:val="21"/>
                <w:szCs w:val="21"/>
              </w:rPr>
              <w:t xml:space="preserve">: </w:t>
            </w:r>
            <w:r w:rsidR="003E4F6A">
              <w:rPr>
                <w:bCs/>
                <w:color w:val="000000" w:themeColor="text1"/>
                <w:sz w:val="21"/>
                <w:szCs w:val="21"/>
              </w:rPr>
              <w:t>TSGAC</w:t>
            </w:r>
            <w:r w:rsidR="003E4F6A">
              <w:rPr>
                <w:b/>
                <w:bCs/>
                <w:color w:val="000000" w:themeColor="text1"/>
                <w:sz w:val="21"/>
                <w:szCs w:val="21"/>
              </w:rPr>
              <w:t xml:space="preserve"> s</w:t>
            </w:r>
            <w:r w:rsidR="003E4F6A">
              <w:rPr>
                <w:bCs/>
                <w:color w:val="000000" w:themeColor="text1"/>
                <w:sz w:val="21"/>
                <w:szCs w:val="21"/>
              </w:rPr>
              <w:t xml:space="preserve">ubmitted comments to CMS on the Price Transparency Regulation (CMS-9912-IFC). </w:t>
            </w:r>
          </w:p>
        </w:tc>
        <w:tc>
          <w:tcPr>
            <w:tcW w:w="3865" w:type="dxa"/>
          </w:tcPr>
          <w:p w14:paraId="6ED7A3A6" w14:textId="77777777" w:rsidR="00C24E2D" w:rsidRDefault="003E4F6A">
            <w:pPr>
              <w:pStyle w:val="ListParagraph"/>
              <w:numPr>
                <w:ilvl w:val="0"/>
                <w:numId w:val="3"/>
              </w:numPr>
              <w:ind w:left="65" w:hanging="180"/>
              <w:cnfStyle w:val="000000100000" w:firstRow="0" w:lastRow="0" w:firstColumn="0" w:lastColumn="0" w:oddVBand="0" w:evenVBand="0" w:oddHBand="1" w:evenHBand="0" w:firstRowFirstColumn="0" w:firstRowLastColumn="0" w:lastRowFirstColumn="0" w:lastRowLastColumn="0"/>
              <w:rPr>
                <w:sz w:val="21"/>
                <w:szCs w:val="21"/>
              </w:rPr>
            </w:pPr>
            <w:r>
              <w:rPr>
                <w:color w:val="000000" w:themeColor="text1"/>
                <w:sz w:val="21"/>
                <w:szCs w:val="22"/>
              </w:rPr>
              <w:t xml:space="preserve">The first issue has been resolved.  An IHS/Tribal hospital outpatient visit for COVID testing will qualify as a billable encounter even if the person doesn’t have a f2f encounter with a provider. Will be effective for diagnostic testing on or after March 1, 2020 and will be effective through the COVID Public Health Emergency. </w:t>
            </w:r>
          </w:p>
          <w:p w14:paraId="61AE0034" w14:textId="77777777" w:rsidR="00C24E2D" w:rsidRDefault="00C24E2D">
            <w:pPr>
              <w:ind w:left="-115"/>
              <w:cnfStyle w:val="000000100000" w:firstRow="0" w:lastRow="0" w:firstColumn="0" w:lastColumn="0" w:oddVBand="0" w:evenVBand="0" w:oddHBand="1" w:evenHBand="0" w:firstRowFirstColumn="0" w:firstRowLastColumn="0" w:lastRowFirstColumn="0" w:lastRowLastColumn="0"/>
              <w:rPr>
                <w:sz w:val="21"/>
                <w:szCs w:val="21"/>
              </w:rPr>
            </w:pPr>
          </w:p>
        </w:tc>
      </w:tr>
      <w:tr w:rsidR="00C24E2D" w14:paraId="14B96F5B" w14:textId="77777777" w:rsidTr="008E7D1F">
        <w:trPr>
          <w:trHeight w:val="374"/>
        </w:trPr>
        <w:tc>
          <w:tcPr>
            <w:cnfStyle w:val="001000000000" w:firstRow="0" w:lastRow="0" w:firstColumn="1" w:lastColumn="0" w:oddVBand="0" w:evenVBand="0" w:oddHBand="0" w:evenHBand="0" w:firstRowFirstColumn="0" w:firstRowLastColumn="0" w:lastRowFirstColumn="0" w:lastRowLastColumn="0"/>
            <w:tcW w:w="2250" w:type="dxa"/>
          </w:tcPr>
          <w:p w14:paraId="2B5357F3" w14:textId="77777777" w:rsidR="00C24E2D" w:rsidRDefault="003E4F6A">
            <w:pPr>
              <w:rPr>
                <w:b w:val="0"/>
                <w:bCs w:val="0"/>
                <w:sz w:val="22"/>
                <w:szCs w:val="22"/>
              </w:rPr>
            </w:pPr>
            <w:r>
              <w:rPr>
                <w:sz w:val="22"/>
                <w:szCs w:val="22"/>
              </w:rPr>
              <w:t>COVID-19 Vaccine</w:t>
            </w:r>
          </w:p>
          <w:p w14:paraId="3761D23B" w14:textId="77777777" w:rsidR="00C24E2D" w:rsidRDefault="003E4F6A">
            <w:pPr>
              <w:rPr>
                <w:b w:val="0"/>
                <w:bCs w:val="0"/>
                <w:sz w:val="22"/>
                <w:szCs w:val="22"/>
              </w:rPr>
            </w:pPr>
            <w:r>
              <w:rPr>
                <w:sz w:val="22"/>
                <w:szCs w:val="22"/>
              </w:rPr>
              <w:t>Distribution, Testing, and Medical Supplies</w:t>
            </w:r>
          </w:p>
          <w:p w14:paraId="3ECAE9D1" w14:textId="77777777" w:rsidR="00C24E2D" w:rsidRDefault="003E4F6A">
            <w:pPr>
              <w:rPr>
                <w:b w:val="0"/>
                <w:bCs w:val="0"/>
                <w:i/>
                <w:iCs/>
                <w:sz w:val="22"/>
                <w:szCs w:val="22"/>
              </w:rPr>
            </w:pPr>
            <w:r>
              <w:rPr>
                <w:b w:val="0"/>
                <w:bCs w:val="0"/>
                <w:i/>
                <w:iCs/>
                <w:sz w:val="22"/>
                <w:szCs w:val="22"/>
              </w:rPr>
              <w:t>HHS, IHS, CDC</w:t>
            </w:r>
          </w:p>
        </w:tc>
        <w:tc>
          <w:tcPr>
            <w:tcW w:w="3420" w:type="dxa"/>
            <w:gridSpan w:val="2"/>
          </w:tcPr>
          <w:p w14:paraId="0978BC3D" w14:textId="77777777" w:rsidR="00C24E2D" w:rsidRDefault="003E4F6A">
            <w:pPr>
              <w:cnfStyle w:val="000000000000" w:firstRow="0" w:lastRow="0" w:firstColumn="0" w:lastColumn="0" w:oddVBand="0" w:evenVBand="0" w:oddHBand="0" w:evenHBand="0" w:firstRowFirstColumn="0" w:firstRowLastColumn="0" w:lastRowFirstColumn="0" w:lastRowLastColumn="0"/>
              <w:rPr>
                <w:sz w:val="21"/>
                <w:szCs w:val="21"/>
              </w:rPr>
            </w:pPr>
            <w:r>
              <w:rPr>
                <w:b/>
                <w:bCs/>
                <w:i/>
                <w:iCs/>
                <w:sz w:val="21"/>
                <w:szCs w:val="21"/>
              </w:rPr>
              <w:t>Issues:</w:t>
            </w:r>
            <w:r>
              <w:rPr>
                <w:sz w:val="21"/>
                <w:szCs w:val="21"/>
              </w:rPr>
              <w:t xml:space="preserve"> </w:t>
            </w:r>
          </w:p>
          <w:p w14:paraId="77DA244F" w14:textId="0BD4C37C" w:rsidR="00C24E2D" w:rsidRDefault="003E4F6A" w:rsidP="001E21D9">
            <w:pPr>
              <w:pStyle w:val="ListParagraph"/>
              <w:numPr>
                <w:ilvl w:val="0"/>
                <w:numId w:val="25"/>
              </w:numPr>
              <w:ind w:left="521"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Need to scale up vaccination</w:t>
            </w:r>
            <w:r w:rsidR="00575581">
              <w:rPr>
                <w:sz w:val="21"/>
                <w:szCs w:val="21"/>
              </w:rPr>
              <w:t xml:space="preserve"> distribution</w:t>
            </w:r>
            <w:r>
              <w:rPr>
                <w:sz w:val="21"/>
                <w:szCs w:val="21"/>
              </w:rPr>
              <w:t xml:space="preserve">, </w:t>
            </w:r>
            <w:r w:rsidR="00575581">
              <w:rPr>
                <w:sz w:val="21"/>
                <w:szCs w:val="21"/>
              </w:rPr>
              <w:t xml:space="preserve">COVID-19 </w:t>
            </w:r>
            <w:r>
              <w:rPr>
                <w:sz w:val="21"/>
                <w:szCs w:val="21"/>
              </w:rPr>
              <w:t>testing, and medical supplies.</w:t>
            </w:r>
          </w:p>
          <w:p w14:paraId="5DAA66EF" w14:textId="7485B11C" w:rsidR="00575581" w:rsidRDefault="00575581" w:rsidP="001E21D9">
            <w:pPr>
              <w:pStyle w:val="ListParagraph"/>
              <w:numPr>
                <w:ilvl w:val="0"/>
                <w:numId w:val="25"/>
              </w:numPr>
              <w:ind w:left="521"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It must be a higher priority for Tribal members to receive the vaccine quickly.</w:t>
            </w:r>
          </w:p>
          <w:p w14:paraId="06AFD4BA" w14:textId="77777777" w:rsidR="00C24E2D" w:rsidRDefault="003E4F6A" w:rsidP="001E21D9">
            <w:pPr>
              <w:pStyle w:val="ListParagraph"/>
              <w:numPr>
                <w:ilvl w:val="0"/>
                <w:numId w:val="25"/>
              </w:numPr>
              <w:ind w:left="521"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Data lag between what Tribes are recording and the CDC Tracker.</w:t>
            </w:r>
          </w:p>
          <w:p w14:paraId="228097F3" w14:textId="77777777" w:rsidR="00C24E2D" w:rsidRDefault="003E4F6A" w:rsidP="001E21D9">
            <w:pPr>
              <w:pStyle w:val="ListParagraph"/>
              <w:numPr>
                <w:ilvl w:val="0"/>
                <w:numId w:val="25"/>
              </w:numPr>
              <w:ind w:left="521"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Tribal autonomy to make vaccine distribution decisions.</w:t>
            </w:r>
          </w:p>
          <w:p w14:paraId="3A51F77B" w14:textId="77777777" w:rsidR="00C24E2D" w:rsidRDefault="003E4F6A" w:rsidP="001E21D9">
            <w:pPr>
              <w:pStyle w:val="ListParagraph"/>
              <w:numPr>
                <w:ilvl w:val="0"/>
                <w:numId w:val="25"/>
              </w:numPr>
              <w:ind w:left="521"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lastRenderedPageBreak/>
              <w:t xml:space="preserve">Concern from TSGAC that Tribes are not categorized as Public Health Entities </w:t>
            </w:r>
            <w:proofErr w:type="gramStart"/>
            <w:r>
              <w:rPr>
                <w:sz w:val="21"/>
                <w:szCs w:val="21"/>
              </w:rPr>
              <w:t>similar to</w:t>
            </w:r>
            <w:proofErr w:type="gramEnd"/>
            <w:r>
              <w:rPr>
                <w:sz w:val="21"/>
                <w:szCs w:val="21"/>
              </w:rPr>
              <w:t xml:space="preserve"> local public health districts. </w:t>
            </w:r>
          </w:p>
        </w:tc>
        <w:tc>
          <w:tcPr>
            <w:tcW w:w="3600" w:type="dxa"/>
          </w:tcPr>
          <w:p w14:paraId="758FF7FB" w14:textId="77777777" w:rsidR="00C24E2D" w:rsidRDefault="001E21D9">
            <w:pPr>
              <w:cnfStyle w:val="000000000000" w:firstRow="0" w:lastRow="0" w:firstColumn="0" w:lastColumn="0" w:oddVBand="0" w:evenVBand="0" w:oddHBand="0" w:evenHBand="0" w:firstRowFirstColumn="0" w:firstRowLastColumn="0" w:lastRowFirstColumn="0" w:lastRowLastColumn="0"/>
              <w:rPr>
                <w:b/>
                <w:bCs/>
                <w:sz w:val="21"/>
              </w:rPr>
            </w:pPr>
            <w:hyperlink r:id="rId10" w:history="1">
              <w:r w:rsidR="003E4F6A">
                <w:rPr>
                  <w:rStyle w:val="Hyperlink"/>
                  <w:b/>
                  <w:bCs/>
                  <w:sz w:val="21"/>
                </w:rPr>
                <w:t>I</w:t>
              </w:r>
              <w:r w:rsidR="003E4F6A">
                <w:rPr>
                  <w:rStyle w:val="Hyperlink"/>
                  <w:b/>
                  <w:sz w:val="21"/>
                </w:rPr>
                <w:t>HS COVID-19 Vaccine Plan</w:t>
              </w:r>
            </w:hyperlink>
          </w:p>
          <w:p w14:paraId="2F295145" w14:textId="77777777" w:rsidR="00C24E2D" w:rsidRDefault="00C24E2D">
            <w:pPr>
              <w:cnfStyle w:val="000000000000" w:firstRow="0" w:lastRow="0" w:firstColumn="0" w:lastColumn="0" w:oddVBand="0" w:evenVBand="0" w:oddHBand="0" w:evenHBand="0" w:firstRowFirstColumn="0" w:firstRowLastColumn="0" w:lastRowFirstColumn="0" w:lastRowLastColumn="0"/>
              <w:rPr>
                <w:b/>
                <w:bCs/>
                <w:sz w:val="21"/>
                <w:szCs w:val="21"/>
              </w:rPr>
            </w:pPr>
          </w:p>
          <w:p w14:paraId="5F1F8BEC" w14:textId="77777777" w:rsidR="00C24E2D" w:rsidRDefault="001E21D9">
            <w:pPr>
              <w:cnfStyle w:val="000000000000" w:firstRow="0" w:lastRow="0" w:firstColumn="0" w:lastColumn="0" w:oddVBand="0" w:evenVBand="0" w:oddHBand="0" w:evenHBand="0" w:firstRowFirstColumn="0" w:firstRowLastColumn="0" w:lastRowFirstColumn="0" w:lastRowLastColumn="0"/>
              <w:rPr>
                <w:rStyle w:val="Hyperlink"/>
                <w:b/>
                <w:bCs/>
                <w:sz w:val="21"/>
                <w:szCs w:val="21"/>
              </w:rPr>
            </w:pPr>
            <w:hyperlink r:id="rId11" w:history="1">
              <w:r w:rsidR="003E4F6A">
                <w:rPr>
                  <w:rStyle w:val="Hyperlink"/>
                  <w:b/>
                  <w:bCs/>
                  <w:sz w:val="21"/>
                  <w:szCs w:val="21"/>
                </w:rPr>
                <w:t xml:space="preserve">11/18/2020 IHS Vaccine Distribution Final Plan DTLL </w:t>
              </w:r>
            </w:hyperlink>
          </w:p>
          <w:p w14:paraId="5847BDFD" w14:textId="77777777" w:rsidR="00C24E2D" w:rsidRDefault="00C24E2D">
            <w:pPr>
              <w:cnfStyle w:val="000000000000" w:firstRow="0" w:lastRow="0" w:firstColumn="0" w:lastColumn="0" w:oddVBand="0" w:evenVBand="0" w:oddHBand="0" w:evenHBand="0" w:firstRowFirstColumn="0" w:firstRowLastColumn="0" w:lastRowFirstColumn="0" w:lastRowLastColumn="0"/>
              <w:rPr>
                <w:rStyle w:val="Hyperlink"/>
                <w:b/>
                <w:bCs/>
                <w:sz w:val="21"/>
                <w:szCs w:val="21"/>
              </w:rPr>
            </w:pPr>
          </w:p>
          <w:p w14:paraId="53508A45" w14:textId="77777777" w:rsidR="00C24E2D" w:rsidRDefault="001E21D9">
            <w:pPr>
              <w:cnfStyle w:val="000000000000" w:firstRow="0" w:lastRow="0" w:firstColumn="0" w:lastColumn="0" w:oddVBand="0" w:evenVBand="0" w:oddHBand="0" w:evenHBand="0" w:firstRowFirstColumn="0" w:firstRowLastColumn="0" w:lastRowFirstColumn="0" w:lastRowLastColumn="0"/>
              <w:rPr>
                <w:rStyle w:val="Hyperlink"/>
                <w:b/>
                <w:bCs/>
                <w:sz w:val="21"/>
                <w:szCs w:val="21"/>
              </w:rPr>
            </w:pPr>
            <w:hyperlink r:id="rId12" w:history="1">
              <w:r w:rsidR="003E4F6A">
                <w:rPr>
                  <w:rStyle w:val="Hyperlink"/>
                  <w:b/>
                  <w:bCs/>
                  <w:sz w:val="21"/>
                  <w:szCs w:val="21"/>
                </w:rPr>
                <w:t>CDC Vaccination Playbook</w:t>
              </w:r>
            </w:hyperlink>
          </w:p>
          <w:p w14:paraId="53D56077" w14:textId="77777777" w:rsidR="00C24E2D" w:rsidRDefault="00C24E2D">
            <w:pPr>
              <w:cnfStyle w:val="000000000000" w:firstRow="0" w:lastRow="0" w:firstColumn="0" w:lastColumn="0" w:oddVBand="0" w:evenVBand="0" w:oddHBand="0" w:evenHBand="0" w:firstRowFirstColumn="0" w:firstRowLastColumn="0" w:lastRowFirstColumn="0" w:lastRowLastColumn="0"/>
              <w:rPr>
                <w:rStyle w:val="Hyperlink"/>
                <w:b/>
                <w:bCs/>
              </w:rPr>
            </w:pPr>
          </w:p>
          <w:p w14:paraId="3BE2A88C" w14:textId="77777777" w:rsidR="00C24E2D" w:rsidRDefault="003E4F6A">
            <w:pPr>
              <w:pStyle w:val="ListParagraph"/>
              <w:numPr>
                <w:ilvl w:val="0"/>
                <w:numId w:val="3"/>
              </w:numPr>
              <w:ind w:left="74" w:hanging="180"/>
              <w:cnfStyle w:val="000000000000" w:firstRow="0" w:lastRow="0" w:firstColumn="0" w:lastColumn="0" w:oddVBand="0" w:evenVBand="0" w:oddHBand="0" w:evenHBand="0" w:firstRowFirstColumn="0" w:firstRowLastColumn="0" w:lastRowFirstColumn="0" w:lastRowLastColumn="0"/>
              <w:rPr>
                <w:sz w:val="21"/>
                <w:szCs w:val="21"/>
              </w:rPr>
            </w:pPr>
            <w:r>
              <w:rPr>
                <w:b/>
                <w:bCs/>
                <w:color w:val="C00000"/>
                <w:sz w:val="21"/>
                <w:szCs w:val="21"/>
              </w:rPr>
              <w:t>FOLLOW-UP</w:t>
            </w:r>
            <w:r>
              <w:rPr>
                <w:sz w:val="21"/>
                <w:szCs w:val="21"/>
              </w:rPr>
              <w:t xml:space="preserve">: TSGAC circulated a summary of the IHS Vaccine Distribution plan. IHS is working on a reimbursement matrix. </w:t>
            </w:r>
          </w:p>
          <w:p w14:paraId="0168CB3F" w14:textId="77777777" w:rsidR="00C24E2D" w:rsidRDefault="00C24E2D">
            <w:pPr>
              <w:cnfStyle w:val="000000000000" w:firstRow="0" w:lastRow="0" w:firstColumn="0" w:lastColumn="0" w:oddVBand="0" w:evenVBand="0" w:oddHBand="0" w:evenHBand="0" w:firstRowFirstColumn="0" w:firstRowLastColumn="0" w:lastRowFirstColumn="0" w:lastRowLastColumn="0"/>
              <w:rPr>
                <w:sz w:val="21"/>
                <w:szCs w:val="21"/>
              </w:rPr>
            </w:pPr>
          </w:p>
        </w:tc>
        <w:tc>
          <w:tcPr>
            <w:tcW w:w="3865" w:type="dxa"/>
          </w:tcPr>
          <w:p w14:paraId="2C49CED5" w14:textId="77777777" w:rsidR="00C24E2D" w:rsidRDefault="003E4F6A">
            <w:pPr>
              <w:pStyle w:val="ListParagraph"/>
              <w:numPr>
                <w:ilvl w:val="0"/>
                <w:numId w:val="3"/>
              </w:numPr>
              <w:ind w:left="7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Tribal Epi Centers need to be informed.</w:t>
            </w:r>
          </w:p>
          <w:p w14:paraId="26909BE5" w14:textId="77777777" w:rsidR="00C24E2D" w:rsidRDefault="003E4F6A">
            <w:pPr>
              <w:pStyle w:val="ListParagraph"/>
              <w:numPr>
                <w:ilvl w:val="0"/>
                <w:numId w:val="3"/>
              </w:numPr>
              <w:ind w:left="7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Need for resources for remote areas to meet the special handling requirements.</w:t>
            </w:r>
          </w:p>
        </w:tc>
      </w:tr>
      <w:tr w:rsidR="00C24E2D" w14:paraId="46F27A39" w14:textId="77777777" w:rsidTr="00990B04">
        <w:trPr>
          <w:cnfStyle w:val="000000100000" w:firstRow="0" w:lastRow="0" w:firstColumn="0" w:lastColumn="0" w:oddVBand="0" w:evenVBand="0" w:oddHBand="1" w:evenHBand="0" w:firstRowFirstColumn="0" w:firstRowLastColumn="0" w:lastRowFirstColumn="0" w:lastRowLastColumn="0"/>
          <w:cantSplit/>
          <w:trHeight w:val="374"/>
        </w:trPr>
        <w:tc>
          <w:tcPr>
            <w:cnfStyle w:val="001000000000" w:firstRow="0" w:lastRow="0" w:firstColumn="1" w:lastColumn="0" w:oddVBand="0" w:evenVBand="0" w:oddHBand="0" w:evenHBand="0" w:firstRowFirstColumn="0" w:firstRowLastColumn="0" w:lastRowFirstColumn="0" w:lastRowLastColumn="0"/>
            <w:tcW w:w="2250" w:type="dxa"/>
          </w:tcPr>
          <w:p w14:paraId="28F1B902" w14:textId="77777777" w:rsidR="00C24E2D" w:rsidRDefault="003E4F6A">
            <w:pPr>
              <w:rPr>
                <w:b w:val="0"/>
                <w:bCs w:val="0"/>
                <w:sz w:val="22"/>
                <w:szCs w:val="22"/>
              </w:rPr>
            </w:pPr>
            <w:r>
              <w:rPr>
                <w:sz w:val="22"/>
                <w:szCs w:val="22"/>
              </w:rPr>
              <w:t>COVID-19 Funding</w:t>
            </w:r>
          </w:p>
          <w:p w14:paraId="5C5353BC" w14:textId="77777777" w:rsidR="00C24E2D" w:rsidRDefault="003E4F6A">
            <w:pPr>
              <w:rPr>
                <w:b w:val="0"/>
                <w:bCs w:val="0"/>
                <w:i/>
                <w:iCs/>
                <w:sz w:val="22"/>
                <w:szCs w:val="22"/>
              </w:rPr>
            </w:pPr>
            <w:r>
              <w:rPr>
                <w:b w:val="0"/>
                <w:bCs w:val="0"/>
                <w:i/>
                <w:iCs/>
                <w:sz w:val="22"/>
                <w:szCs w:val="22"/>
              </w:rPr>
              <w:t>IHS, HHS</w:t>
            </w:r>
          </w:p>
        </w:tc>
        <w:tc>
          <w:tcPr>
            <w:tcW w:w="3420" w:type="dxa"/>
            <w:gridSpan w:val="2"/>
          </w:tcPr>
          <w:p w14:paraId="03C038DE" w14:textId="16FCF57A" w:rsidR="00C24E2D" w:rsidRDefault="003E4F6A">
            <w:pPr>
              <w:cnfStyle w:val="000000100000" w:firstRow="0" w:lastRow="0" w:firstColumn="0" w:lastColumn="0" w:oddVBand="0" w:evenVBand="0" w:oddHBand="1" w:evenHBand="0" w:firstRowFirstColumn="0" w:firstRowLastColumn="0" w:lastRowFirstColumn="0" w:lastRowLastColumn="0"/>
              <w:rPr>
                <w:rFonts w:cs="Arial"/>
                <w:sz w:val="21"/>
                <w:szCs w:val="21"/>
              </w:rPr>
            </w:pPr>
            <w:r>
              <w:rPr>
                <w:b/>
                <w:bCs/>
                <w:i/>
                <w:iCs/>
                <w:sz w:val="21"/>
                <w:szCs w:val="21"/>
              </w:rPr>
              <w:t>Issue</w:t>
            </w:r>
            <w:r w:rsidR="00BF5EA8">
              <w:rPr>
                <w:b/>
                <w:bCs/>
                <w:i/>
                <w:iCs/>
                <w:sz w:val="21"/>
                <w:szCs w:val="21"/>
              </w:rPr>
              <w:t>s</w:t>
            </w:r>
            <w:r>
              <w:rPr>
                <w:sz w:val="21"/>
                <w:szCs w:val="21"/>
              </w:rPr>
              <w:t>:</w:t>
            </w:r>
            <w:r>
              <w:rPr>
                <w:rFonts w:cs="Arial"/>
                <w:sz w:val="21"/>
                <w:szCs w:val="21"/>
              </w:rPr>
              <w:t xml:space="preserve"> </w:t>
            </w:r>
          </w:p>
          <w:p w14:paraId="0052451D" w14:textId="77777777" w:rsidR="00C24E2D" w:rsidRDefault="003E4F6A" w:rsidP="001E21D9">
            <w:pPr>
              <w:pStyle w:val="ListParagraph"/>
              <w:numPr>
                <w:ilvl w:val="0"/>
                <w:numId w:val="26"/>
              </w:numPr>
              <w:ind w:left="347" w:hanging="27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Concern with the formula used to generate the $500M IHS/Tribal set aside in the Provider Relief Fund.  HHS originally indicated it used a $3,943 cost per individual as the basis for the funding formula. </w:t>
            </w:r>
          </w:p>
          <w:p w14:paraId="6F32204E" w14:textId="77777777" w:rsidR="00C24E2D" w:rsidRDefault="003E4F6A" w:rsidP="001E21D9">
            <w:pPr>
              <w:pStyle w:val="ListParagraph"/>
              <w:numPr>
                <w:ilvl w:val="0"/>
                <w:numId w:val="26"/>
              </w:numPr>
              <w:ind w:left="347" w:hanging="27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Funding needed for vaccine storage, medical supplies/PPE, and supplemental medical personnel. </w:t>
            </w:r>
          </w:p>
          <w:p w14:paraId="710E4812" w14:textId="77777777" w:rsidR="00C24E2D" w:rsidRDefault="003E4F6A" w:rsidP="001E21D9">
            <w:pPr>
              <w:pStyle w:val="ListParagraph"/>
              <w:numPr>
                <w:ilvl w:val="0"/>
                <w:numId w:val="26"/>
              </w:numPr>
              <w:ind w:left="347" w:hanging="27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Funding needed for COVID-19 testing.</w:t>
            </w:r>
          </w:p>
          <w:p w14:paraId="4BEFCCCE" w14:textId="77777777" w:rsidR="00C24E2D" w:rsidRDefault="003E4F6A" w:rsidP="001E21D9">
            <w:pPr>
              <w:pStyle w:val="ListParagraph"/>
              <w:numPr>
                <w:ilvl w:val="0"/>
                <w:numId w:val="26"/>
              </w:numPr>
              <w:ind w:left="347" w:hanging="27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Funding for third-party revenue loss.</w:t>
            </w:r>
          </w:p>
          <w:p w14:paraId="4990D4D3" w14:textId="77777777" w:rsidR="00C24E2D" w:rsidRDefault="003E4F6A" w:rsidP="001E21D9">
            <w:pPr>
              <w:pStyle w:val="ListParagraph"/>
              <w:numPr>
                <w:ilvl w:val="0"/>
                <w:numId w:val="26"/>
              </w:numPr>
              <w:ind w:left="347" w:hanging="27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Funding needed for mental and behavioral health.</w:t>
            </w:r>
          </w:p>
          <w:p w14:paraId="54418243" w14:textId="77777777" w:rsidR="00C24E2D" w:rsidRDefault="003E4F6A" w:rsidP="001E21D9">
            <w:pPr>
              <w:pStyle w:val="ListParagraph"/>
              <w:numPr>
                <w:ilvl w:val="0"/>
                <w:numId w:val="26"/>
              </w:numPr>
              <w:ind w:left="347" w:hanging="27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Funding for broadband infrastructure for adequate telehealth.</w:t>
            </w:r>
          </w:p>
          <w:p w14:paraId="702F157C" w14:textId="77777777" w:rsidR="00C24E2D" w:rsidRDefault="003E4F6A" w:rsidP="001E21D9">
            <w:pPr>
              <w:pStyle w:val="ListParagraph"/>
              <w:numPr>
                <w:ilvl w:val="0"/>
                <w:numId w:val="26"/>
              </w:numPr>
              <w:ind w:left="347" w:hanging="270"/>
              <w:cnfStyle w:val="000000100000" w:firstRow="0" w:lastRow="0" w:firstColumn="0" w:lastColumn="0" w:oddVBand="0" w:evenVBand="0" w:oddHBand="1" w:evenHBand="0" w:firstRowFirstColumn="0" w:firstRowLastColumn="0" w:lastRowFirstColumn="0" w:lastRowLastColumn="0"/>
              <w:rPr>
                <w:rFonts w:cs="Arial"/>
                <w:sz w:val="21"/>
                <w:szCs w:val="21"/>
              </w:rPr>
            </w:pPr>
            <w:r>
              <w:rPr>
                <w:rFonts w:cs="Arial"/>
                <w:sz w:val="21"/>
                <w:szCs w:val="21"/>
              </w:rPr>
              <w:t xml:space="preserve">Funding needed for culturally relevant outreach and education to build vaccine acceptance. </w:t>
            </w:r>
          </w:p>
        </w:tc>
        <w:tc>
          <w:tcPr>
            <w:tcW w:w="3600" w:type="dxa"/>
          </w:tcPr>
          <w:p w14:paraId="59582B62" w14:textId="77777777" w:rsidR="00C24E2D" w:rsidRDefault="001E21D9">
            <w:pPr>
              <w:cnfStyle w:val="000000100000" w:firstRow="0" w:lastRow="0" w:firstColumn="0" w:lastColumn="0" w:oddVBand="0" w:evenVBand="0" w:oddHBand="1" w:evenHBand="0" w:firstRowFirstColumn="0" w:firstRowLastColumn="0" w:lastRowFirstColumn="0" w:lastRowLastColumn="0"/>
              <w:rPr>
                <w:b/>
                <w:sz w:val="21"/>
                <w:szCs w:val="21"/>
              </w:rPr>
            </w:pPr>
            <w:hyperlink r:id="rId13" w:history="1">
              <w:r w:rsidR="003E4F6A">
                <w:rPr>
                  <w:rStyle w:val="Hyperlink"/>
                  <w:b/>
                  <w:sz w:val="21"/>
                  <w:szCs w:val="21"/>
                </w:rPr>
                <w:t>4/23/2020 TSGAC COVID-Funding Webinar</w:t>
              </w:r>
            </w:hyperlink>
          </w:p>
          <w:p w14:paraId="268539D3" w14:textId="77777777" w:rsidR="00C24E2D" w:rsidRDefault="00C24E2D">
            <w:pPr>
              <w:cnfStyle w:val="000000100000" w:firstRow="0" w:lastRow="0" w:firstColumn="0" w:lastColumn="0" w:oddVBand="0" w:evenVBand="0" w:oddHBand="1" w:evenHBand="0" w:firstRowFirstColumn="0" w:firstRowLastColumn="0" w:lastRowFirstColumn="0" w:lastRowLastColumn="0"/>
              <w:rPr>
                <w:sz w:val="21"/>
                <w:szCs w:val="21"/>
              </w:rPr>
            </w:pPr>
          </w:p>
          <w:p w14:paraId="60082AB8" w14:textId="77777777" w:rsidR="00C24E2D" w:rsidRDefault="001E21D9">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14" w:history="1">
              <w:r w:rsidR="003E4F6A">
                <w:rPr>
                  <w:rStyle w:val="Hyperlink"/>
                  <w:b/>
                  <w:bCs/>
                  <w:sz w:val="21"/>
                  <w:szCs w:val="21"/>
                </w:rPr>
                <w:t>HHS PRF Reporting Guidance</w:t>
              </w:r>
            </w:hyperlink>
          </w:p>
          <w:p w14:paraId="345BB13B" w14:textId="77777777" w:rsidR="00C24E2D" w:rsidRDefault="00C24E2D">
            <w:pPr>
              <w:cnfStyle w:val="000000100000" w:firstRow="0" w:lastRow="0" w:firstColumn="0" w:lastColumn="0" w:oddVBand="0" w:evenVBand="0" w:oddHBand="1" w:evenHBand="0" w:firstRowFirstColumn="0" w:firstRowLastColumn="0" w:lastRowFirstColumn="0" w:lastRowLastColumn="0"/>
              <w:rPr>
                <w:b/>
                <w:bCs/>
                <w:sz w:val="21"/>
                <w:szCs w:val="21"/>
              </w:rPr>
            </w:pPr>
          </w:p>
          <w:p w14:paraId="3CAAFCD9" w14:textId="77777777" w:rsidR="00C24E2D" w:rsidRDefault="001E21D9">
            <w:pPr>
              <w:cnfStyle w:val="000000100000" w:firstRow="0" w:lastRow="0" w:firstColumn="0" w:lastColumn="0" w:oddVBand="0" w:evenVBand="0" w:oddHBand="1" w:evenHBand="0" w:firstRowFirstColumn="0" w:firstRowLastColumn="0" w:lastRowFirstColumn="0" w:lastRowLastColumn="0"/>
              <w:rPr>
                <w:b/>
                <w:bCs/>
                <w:sz w:val="21"/>
                <w:szCs w:val="21"/>
              </w:rPr>
            </w:pPr>
            <w:hyperlink r:id="rId15" w:history="1">
              <w:r w:rsidR="003E4F6A">
                <w:rPr>
                  <w:rStyle w:val="Hyperlink"/>
                  <w:b/>
                  <w:bCs/>
                  <w:sz w:val="21"/>
                  <w:szCs w:val="21"/>
                </w:rPr>
                <w:t>COVID-19 Relief Funding Tribal Joint Letter to Congress</w:t>
              </w:r>
            </w:hyperlink>
          </w:p>
          <w:p w14:paraId="06B2F790" w14:textId="77777777" w:rsidR="00C24E2D" w:rsidRDefault="00C24E2D">
            <w:pPr>
              <w:cnfStyle w:val="000000100000" w:firstRow="0" w:lastRow="0" w:firstColumn="0" w:lastColumn="0" w:oddVBand="0" w:evenVBand="0" w:oddHBand="1" w:evenHBand="0" w:firstRowFirstColumn="0" w:firstRowLastColumn="0" w:lastRowFirstColumn="0" w:lastRowLastColumn="0"/>
              <w:rPr>
                <w:b/>
                <w:bCs/>
                <w:sz w:val="21"/>
                <w:szCs w:val="21"/>
              </w:rPr>
            </w:pPr>
          </w:p>
          <w:p w14:paraId="1AD003EA" w14:textId="77777777" w:rsidR="00C24E2D" w:rsidRDefault="003E4F6A">
            <w:pPr>
              <w:cnfStyle w:val="000000100000" w:firstRow="0" w:lastRow="0" w:firstColumn="0" w:lastColumn="0" w:oddVBand="0" w:evenVBand="0" w:oddHBand="1" w:evenHBand="0" w:firstRowFirstColumn="0" w:firstRowLastColumn="0" w:lastRowFirstColumn="0" w:lastRowLastColumn="0"/>
              <w:rPr>
                <w:sz w:val="21"/>
                <w:szCs w:val="21"/>
              </w:rPr>
            </w:pPr>
            <w:r>
              <w:rPr>
                <w:b/>
                <w:bCs/>
                <w:color w:val="C00000"/>
                <w:sz w:val="21"/>
                <w:szCs w:val="21"/>
              </w:rPr>
              <w:t>FOLLOW-UP</w:t>
            </w:r>
            <w:r>
              <w:rPr>
                <w:sz w:val="21"/>
                <w:szCs w:val="21"/>
              </w:rPr>
              <w:t>: Following what happens in the next legislative package.</w:t>
            </w:r>
          </w:p>
          <w:p w14:paraId="3932EF1E" w14:textId="77777777" w:rsidR="00C24E2D" w:rsidRDefault="003E4F6A" w:rsidP="001E21D9">
            <w:pPr>
              <w:pStyle w:val="ListParagraph"/>
              <w:numPr>
                <w:ilvl w:val="1"/>
                <w:numId w:val="9"/>
              </w:numPr>
              <w:ind w:left="251"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Future funding allocations for IHCPs should be based on actual cost to provide care, not the underfunded IHS.</w:t>
            </w:r>
          </w:p>
          <w:p w14:paraId="720C13D5" w14:textId="77777777" w:rsidR="00C24E2D" w:rsidRDefault="003E4F6A" w:rsidP="001E21D9">
            <w:pPr>
              <w:pStyle w:val="ListParagraph"/>
              <w:numPr>
                <w:ilvl w:val="1"/>
                <w:numId w:val="9"/>
              </w:numPr>
              <w:ind w:left="251"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Potential follow-up webinar after next legislative package is released.</w:t>
            </w:r>
          </w:p>
        </w:tc>
        <w:tc>
          <w:tcPr>
            <w:tcW w:w="3865" w:type="dxa"/>
          </w:tcPr>
          <w:p w14:paraId="5461CC96" w14:textId="0A12FA7C" w:rsidR="00C24E2D" w:rsidRDefault="008E7D1F" w:rsidP="001E21D9">
            <w:pPr>
              <w:pStyle w:val="ListParagraph"/>
              <w:numPr>
                <w:ilvl w:val="0"/>
                <w:numId w:val="9"/>
              </w:numPr>
              <w:ind w:left="161" w:hanging="270"/>
              <w:cnfStyle w:val="000000100000" w:firstRow="0" w:lastRow="0" w:firstColumn="0" w:lastColumn="0" w:oddVBand="0" w:evenVBand="0" w:oddHBand="1" w:evenHBand="0" w:firstRowFirstColumn="0" w:firstRowLastColumn="0" w:lastRowFirstColumn="0" w:lastRowLastColumn="0"/>
              <w:rPr>
                <w:sz w:val="21"/>
                <w:szCs w:val="21"/>
              </w:rPr>
            </w:pPr>
            <w:r w:rsidRPr="008E7D1F">
              <w:rPr>
                <w:b/>
                <w:bCs/>
                <w:sz w:val="21"/>
                <w:szCs w:val="21"/>
                <w:u w:val="single"/>
              </w:rPr>
              <w:t>1/15/2021</w:t>
            </w:r>
            <w:r>
              <w:rPr>
                <w:sz w:val="21"/>
                <w:szCs w:val="21"/>
              </w:rPr>
              <w:t xml:space="preserve">:  </w:t>
            </w:r>
            <w:r w:rsidR="003E4F6A">
              <w:rPr>
                <w:sz w:val="21"/>
                <w:szCs w:val="21"/>
              </w:rPr>
              <w:t xml:space="preserve">HHS/IHS has new reporting requirements and portal is open </w:t>
            </w:r>
            <w:r w:rsidR="003E4F6A" w:rsidRPr="00BF5EA8">
              <w:rPr>
                <w:bCs/>
                <w:sz w:val="21"/>
                <w:szCs w:val="21"/>
              </w:rPr>
              <w:t>for registration purposes only.  HHS will notify providers when they need to report.</w:t>
            </w:r>
            <w:r w:rsidR="003E4F6A">
              <w:rPr>
                <w:sz w:val="21"/>
                <w:szCs w:val="21"/>
              </w:rPr>
              <w:t xml:space="preserve"> </w:t>
            </w:r>
          </w:p>
        </w:tc>
      </w:tr>
      <w:tr w:rsidR="00C24E2D" w14:paraId="61756667" w14:textId="77777777" w:rsidTr="00990B04">
        <w:trPr>
          <w:cantSplit/>
          <w:trHeight w:val="374"/>
        </w:trPr>
        <w:tc>
          <w:tcPr>
            <w:cnfStyle w:val="001000000000" w:firstRow="0" w:lastRow="0" w:firstColumn="1" w:lastColumn="0" w:oddVBand="0" w:evenVBand="0" w:oddHBand="0" w:evenHBand="0" w:firstRowFirstColumn="0" w:firstRowLastColumn="0" w:lastRowFirstColumn="0" w:lastRowLastColumn="0"/>
            <w:tcW w:w="2250" w:type="dxa"/>
          </w:tcPr>
          <w:p w14:paraId="5F47AD7A" w14:textId="77777777" w:rsidR="00C24E2D" w:rsidRDefault="003E4F6A">
            <w:pPr>
              <w:rPr>
                <w:b w:val="0"/>
                <w:bCs w:val="0"/>
                <w:sz w:val="22"/>
                <w:szCs w:val="22"/>
              </w:rPr>
            </w:pPr>
            <w:r>
              <w:rPr>
                <w:sz w:val="22"/>
                <w:szCs w:val="22"/>
              </w:rPr>
              <w:t xml:space="preserve">COVID-19 </w:t>
            </w:r>
          </w:p>
          <w:p w14:paraId="5BD71A2E" w14:textId="77777777" w:rsidR="00C24E2D" w:rsidRDefault="003E4F6A">
            <w:pPr>
              <w:rPr>
                <w:b w:val="0"/>
                <w:bCs w:val="0"/>
                <w:sz w:val="22"/>
                <w:szCs w:val="22"/>
              </w:rPr>
            </w:pPr>
            <w:r>
              <w:rPr>
                <w:sz w:val="22"/>
                <w:szCs w:val="22"/>
              </w:rPr>
              <w:t>Inter-Agency Agreements (IAA)</w:t>
            </w:r>
          </w:p>
          <w:p w14:paraId="66143006" w14:textId="77777777" w:rsidR="00C24E2D" w:rsidRDefault="003E4F6A">
            <w:pPr>
              <w:rPr>
                <w:sz w:val="22"/>
                <w:szCs w:val="22"/>
              </w:rPr>
            </w:pPr>
            <w:r>
              <w:rPr>
                <w:b w:val="0"/>
                <w:bCs w:val="0"/>
                <w:i/>
                <w:iCs/>
                <w:sz w:val="22"/>
                <w:szCs w:val="22"/>
              </w:rPr>
              <w:t>IHS, VA</w:t>
            </w:r>
          </w:p>
        </w:tc>
        <w:tc>
          <w:tcPr>
            <w:tcW w:w="3420" w:type="dxa"/>
            <w:gridSpan w:val="2"/>
          </w:tcPr>
          <w:p w14:paraId="2F8343CD" w14:textId="77777777" w:rsidR="00C24E2D" w:rsidRDefault="003E4F6A">
            <w:pPr>
              <w:cnfStyle w:val="000000000000" w:firstRow="0" w:lastRow="0" w:firstColumn="0" w:lastColumn="0" w:oddVBand="0" w:evenVBand="0" w:oddHBand="0" w:evenHBand="0" w:firstRowFirstColumn="0" w:firstRowLastColumn="0" w:lastRowFirstColumn="0" w:lastRowLastColumn="0"/>
              <w:rPr>
                <w:sz w:val="21"/>
                <w:szCs w:val="21"/>
              </w:rPr>
            </w:pPr>
            <w:r>
              <w:rPr>
                <w:b/>
                <w:i/>
                <w:sz w:val="21"/>
                <w:szCs w:val="21"/>
              </w:rPr>
              <w:t>Issues:</w:t>
            </w:r>
            <w:r>
              <w:rPr>
                <w:sz w:val="21"/>
                <w:szCs w:val="21"/>
              </w:rPr>
              <w:t xml:space="preserve">  </w:t>
            </w:r>
          </w:p>
          <w:p w14:paraId="59CCDF58" w14:textId="77777777" w:rsidR="00C24E2D" w:rsidRDefault="003E4F6A" w:rsidP="001E21D9">
            <w:pPr>
              <w:pStyle w:val="ListParagraph"/>
              <w:numPr>
                <w:ilvl w:val="0"/>
                <w:numId w:val="24"/>
              </w:numPr>
              <w:ind w:left="251" w:hanging="264"/>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IHS has </w:t>
            </w:r>
            <w:proofErr w:type="gramStart"/>
            <w:r>
              <w:rPr>
                <w:sz w:val="21"/>
                <w:szCs w:val="21"/>
              </w:rPr>
              <w:t>entered into</w:t>
            </w:r>
            <w:proofErr w:type="gramEnd"/>
            <w:r>
              <w:rPr>
                <w:sz w:val="21"/>
                <w:szCs w:val="21"/>
              </w:rPr>
              <w:t xml:space="preserve"> an IAA with the Strategic National Stockpile to access hard-to-find PPE and $10M has been allocated for critical supplies.</w:t>
            </w:r>
          </w:p>
          <w:p w14:paraId="23A124F0" w14:textId="77777777" w:rsidR="00C24E2D" w:rsidRDefault="003E4F6A" w:rsidP="001E21D9">
            <w:pPr>
              <w:pStyle w:val="ListParagraph"/>
              <w:numPr>
                <w:ilvl w:val="0"/>
                <w:numId w:val="24"/>
              </w:numPr>
              <w:ind w:left="251" w:hanging="264"/>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IHS has </w:t>
            </w:r>
            <w:proofErr w:type="gramStart"/>
            <w:r>
              <w:rPr>
                <w:sz w:val="21"/>
                <w:szCs w:val="21"/>
              </w:rPr>
              <w:t>entered into</w:t>
            </w:r>
            <w:proofErr w:type="gramEnd"/>
            <w:r>
              <w:rPr>
                <w:sz w:val="21"/>
                <w:szCs w:val="21"/>
              </w:rPr>
              <w:t xml:space="preserve"> an IAA with VA for surge bed capacity for IHS facilities. </w:t>
            </w:r>
          </w:p>
          <w:p w14:paraId="7812C93A" w14:textId="77777777" w:rsidR="00C24E2D" w:rsidRDefault="003E4F6A" w:rsidP="001E21D9">
            <w:pPr>
              <w:pStyle w:val="ListParagraph"/>
              <w:numPr>
                <w:ilvl w:val="0"/>
                <w:numId w:val="24"/>
              </w:numPr>
              <w:ind w:left="251"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Funding allocated to Tribes through SAMHSA or CDC are required to be made through </w:t>
            </w:r>
            <w:r>
              <w:rPr>
                <w:sz w:val="21"/>
                <w:szCs w:val="21"/>
              </w:rPr>
              <w:lastRenderedPageBreak/>
              <w:t>grants. Need a statute to override the grants-mechanism to transfer to IHS.</w:t>
            </w:r>
          </w:p>
        </w:tc>
        <w:tc>
          <w:tcPr>
            <w:tcW w:w="3600" w:type="dxa"/>
          </w:tcPr>
          <w:p w14:paraId="03BE9F33" w14:textId="77777777" w:rsidR="00C24E2D" w:rsidRDefault="003E4F6A">
            <w:pPr>
              <w:cnfStyle w:val="000000000000" w:firstRow="0" w:lastRow="0" w:firstColumn="0" w:lastColumn="0" w:oddVBand="0" w:evenVBand="0" w:oddHBand="0" w:evenHBand="0" w:firstRowFirstColumn="0" w:firstRowLastColumn="0" w:lastRowFirstColumn="0" w:lastRowLastColumn="0"/>
              <w:rPr>
                <w:sz w:val="21"/>
                <w:szCs w:val="21"/>
              </w:rPr>
            </w:pPr>
            <w:r>
              <w:rPr>
                <w:b/>
                <w:bCs/>
                <w:color w:val="C00000"/>
                <w:sz w:val="21"/>
                <w:szCs w:val="21"/>
              </w:rPr>
              <w:lastRenderedPageBreak/>
              <w:t>FOLLOW-UP:</w:t>
            </w:r>
            <w:r>
              <w:rPr>
                <w:color w:val="C00000"/>
                <w:sz w:val="21"/>
                <w:szCs w:val="21"/>
              </w:rPr>
              <w:t xml:space="preserve"> </w:t>
            </w:r>
            <w:r>
              <w:rPr>
                <w:sz w:val="21"/>
                <w:szCs w:val="21"/>
              </w:rPr>
              <w:t>Tribes to talk with legislators about the need for legislation that would allow COVID-19 relief funds allocated to Tribes through SAMHSA and CDC to be transferred to IHS and able to be provided through Funding Agreements.</w:t>
            </w:r>
          </w:p>
        </w:tc>
        <w:tc>
          <w:tcPr>
            <w:tcW w:w="3865" w:type="dxa"/>
          </w:tcPr>
          <w:p w14:paraId="42EE1502" w14:textId="77777777" w:rsidR="00C24E2D" w:rsidRDefault="003E4F6A">
            <w:pPr>
              <w:pStyle w:val="ListParagraph"/>
              <w:numPr>
                <w:ilvl w:val="0"/>
                <w:numId w:val="3"/>
              </w:numPr>
              <w:ind w:left="7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Need for IAA between IHS and SAMHSA as well as IHS and CDC to use funding through ISDEAA.</w:t>
            </w:r>
          </w:p>
          <w:p w14:paraId="42A8D162" w14:textId="77777777" w:rsidR="00C24E2D" w:rsidRDefault="003E4F6A">
            <w:pPr>
              <w:pStyle w:val="ListParagraph"/>
              <w:numPr>
                <w:ilvl w:val="0"/>
                <w:numId w:val="3"/>
              </w:numPr>
              <w:ind w:left="7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Need to put together a team to develop a plan for how this could work. </w:t>
            </w:r>
          </w:p>
        </w:tc>
      </w:tr>
      <w:tr w:rsidR="00C24E2D" w14:paraId="6128D12D" w14:textId="77777777" w:rsidTr="00990B04">
        <w:trPr>
          <w:cnfStyle w:val="000000100000" w:firstRow="0" w:lastRow="0" w:firstColumn="0" w:lastColumn="0" w:oddVBand="0" w:evenVBand="0" w:oddHBand="1" w:evenHBand="0" w:firstRowFirstColumn="0" w:firstRowLastColumn="0" w:lastRowFirstColumn="0" w:lastRowLastColumn="0"/>
          <w:cantSplit/>
          <w:trHeight w:val="374"/>
        </w:trPr>
        <w:tc>
          <w:tcPr>
            <w:cnfStyle w:val="001000000000" w:firstRow="0" w:lastRow="0" w:firstColumn="1" w:lastColumn="0" w:oddVBand="0" w:evenVBand="0" w:oddHBand="0" w:evenHBand="0" w:firstRowFirstColumn="0" w:firstRowLastColumn="0" w:lastRowFirstColumn="0" w:lastRowLastColumn="0"/>
            <w:tcW w:w="2250" w:type="dxa"/>
          </w:tcPr>
          <w:p w14:paraId="6FE67A65" w14:textId="77777777" w:rsidR="00C24E2D" w:rsidRDefault="003E4F6A">
            <w:pPr>
              <w:rPr>
                <w:b w:val="0"/>
                <w:bCs w:val="0"/>
                <w:sz w:val="22"/>
                <w:szCs w:val="22"/>
              </w:rPr>
            </w:pPr>
            <w:r>
              <w:rPr>
                <w:sz w:val="22"/>
                <w:szCs w:val="22"/>
              </w:rPr>
              <w:t>Telehealth Expansion</w:t>
            </w:r>
          </w:p>
          <w:p w14:paraId="77F273FE" w14:textId="77777777" w:rsidR="00C24E2D" w:rsidRDefault="003E4F6A">
            <w:pPr>
              <w:rPr>
                <w:sz w:val="22"/>
                <w:szCs w:val="22"/>
              </w:rPr>
            </w:pPr>
            <w:r>
              <w:rPr>
                <w:b w:val="0"/>
                <w:bCs w:val="0"/>
                <w:i/>
                <w:iCs/>
                <w:sz w:val="22"/>
                <w:szCs w:val="22"/>
              </w:rPr>
              <w:t>CMS</w:t>
            </w:r>
          </w:p>
        </w:tc>
        <w:tc>
          <w:tcPr>
            <w:tcW w:w="3420" w:type="dxa"/>
            <w:gridSpan w:val="2"/>
          </w:tcPr>
          <w:p w14:paraId="2B58C87E" w14:textId="77777777" w:rsidR="00C24E2D" w:rsidRDefault="003E4F6A">
            <w:pPr>
              <w:ind w:left="68"/>
              <w:cnfStyle w:val="000000100000" w:firstRow="0" w:lastRow="0" w:firstColumn="0" w:lastColumn="0" w:oddVBand="0" w:evenVBand="0" w:oddHBand="1" w:evenHBand="0" w:firstRowFirstColumn="0" w:firstRowLastColumn="0" w:lastRowFirstColumn="0" w:lastRowLastColumn="0"/>
              <w:rPr>
                <w:b/>
                <w:i/>
                <w:sz w:val="21"/>
                <w:szCs w:val="21"/>
              </w:rPr>
            </w:pPr>
            <w:r>
              <w:rPr>
                <w:b/>
                <w:i/>
                <w:sz w:val="21"/>
                <w:szCs w:val="21"/>
              </w:rPr>
              <w:t xml:space="preserve">Issue: </w:t>
            </w:r>
            <w:r>
              <w:rPr>
                <w:sz w:val="21"/>
                <w:szCs w:val="21"/>
              </w:rPr>
              <w:t xml:space="preserve">Need for expansion of reimbursement for telehealth services through </w:t>
            </w:r>
            <w:hyperlink r:id="rId16" w:history="1">
              <w:r>
                <w:rPr>
                  <w:rStyle w:val="Hyperlink"/>
                  <w:sz w:val="21"/>
                  <w:szCs w:val="21"/>
                </w:rPr>
                <w:t>CMS Medicare &amp; Medicaid</w:t>
              </w:r>
            </w:hyperlink>
            <w:r>
              <w:rPr>
                <w:sz w:val="21"/>
                <w:szCs w:val="21"/>
              </w:rPr>
              <w:t>. More of an issue with Medicare limiting reimbursement.</w:t>
            </w:r>
          </w:p>
          <w:p w14:paraId="08104EF0" w14:textId="77777777" w:rsidR="00C24E2D" w:rsidRDefault="00C24E2D">
            <w:pPr>
              <w:cnfStyle w:val="000000100000" w:firstRow="0" w:lastRow="0" w:firstColumn="0" w:lastColumn="0" w:oddVBand="0" w:evenVBand="0" w:oddHBand="1" w:evenHBand="0" w:firstRowFirstColumn="0" w:firstRowLastColumn="0" w:lastRowFirstColumn="0" w:lastRowLastColumn="0"/>
              <w:rPr>
                <w:sz w:val="21"/>
                <w:szCs w:val="21"/>
              </w:rPr>
            </w:pPr>
          </w:p>
        </w:tc>
        <w:tc>
          <w:tcPr>
            <w:tcW w:w="3600" w:type="dxa"/>
          </w:tcPr>
          <w:p w14:paraId="74B0F366" w14:textId="77777777" w:rsidR="00C24E2D" w:rsidRDefault="001E21D9">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17" w:history="1">
              <w:r w:rsidR="003E4F6A">
                <w:rPr>
                  <w:rStyle w:val="Hyperlink"/>
                  <w:b/>
                  <w:bCs/>
                  <w:sz w:val="21"/>
                  <w:szCs w:val="21"/>
                </w:rPr>
                <w:t xml:space="preserve">12/20/2020 CMS Finalizes Permanent Expansion of Medicare Telehealth Services and </w:t>
              </w:r>
              <w:proofErr w:type="gramStart"/>
              <w:r w:rsidR="003E4F6A">
                <w:rPr>
                  <w:rStyle w:val="Hyperlink"/>
                  <w:b/>
                  <w:bCs/>
                  <w:sz w:val="21"/>
                  <w:szCs w:val="21"/>
                </w:rPr>
                <w:t>Improved  Payment</w:t>
              </w:r>
              <w:proofErr w:type="gramEnd"/>
              <w:r w:rsidR="003E4F6A">
                <w:rPr>
                  <w:rStyle w:val="Hyperlink"/>
                  <w:b/>
                  <w:bCs/>
                  <w:sz w:val="21"/>
                  <w:szCs w:val="21"/>
                </w:rPr>
                <w:t xml:space="preserve"> for Time Doctors Spend with Patients.</w:t>
              </w:r>
            </w:hyperlink>
            <w:r w:rsidR="003E4F6A">
              <w:rPr>
                <w:rStyle w:val="Hyperlink"/>
                <w:b/>
                <w:bCs/>
                <w:sz w:val="21"/>
                <w:szCs w:val="21"/>
              </w:rPr>
              <w:t xml:space="preserve"> </w:t>
            </w:r>
          </w:p>
          <w:p w14:paraId="43768252" w14:textId="77777777" w:rsidR="00C24E2D" w:rsidRDefault="00C24E2D">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p>
          <w:p w14:paraId="34725DC7" w14:textId="77777777" w:rsidR="00C24E2D" w:rsidRDefault="001E21D9">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18" w:history="1">
              <w:r w:rsidR="003E4F6A">
                <w:rPr>
                  <w:rStyle w:val="Hyperlink"/>
                  <w:b/>
                  <w:bCs/>
                  <w:sz w:val="21"/>
                  <w:szCs w:val="21"/>
                </w:rPr>
                <w:t>Executive Order on Rural Health and Telehealth</w:t>
              </w:r>
            </w:hyperlink>
          </w:p>
          <w:p w14:paraId="22847AE7" w14:textId="77777777" w:rsidR="00C24E2D" w:rsidRDefault="00C24E2D">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p>
          <w:p w14:paraId="4F6BC111" w14:textId="77777777" w:rsidR="00C24E2D" w:rsidRDefault="003E4F6A">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r>
              <w:rPr>
                <w:rStyle w:val="Hyperlink"/>
                <w:b/>
                <w:bCs/>
                <w:sz w:val="21"/>
                <w:szCs w:val="21"/>
              </w:rPr>
              <w:t>CMS Matrix of Telehealth Services</w:t>
            </w:r>
          </w:p>
          <w:p w14:paraId="73DA7826" w14:textId="77777777" w:rsidR="00C24E2D" w:rsidRDefault="00C24E2D">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p>
          <w:p w14:paraId="1F4034E1" w14:textId="77777777" w:rsidR="00C24E2D" w:rsidRDefault="001E21D9">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19" w:history="1">
              <w:r w:rsidR="003E4F6A">
                <w:rPr>
                  <w:rStyle w:val="Hyperlink"/>
                  <w:b/>
                  <w:bCs/>
                  <w:sz w:val="21"/>
                  <w:szCs w:val="21"/>
                </w:rPr>
                <w:t>Medicare Telemedicine Health Care Provider Fact Sheet</w:t>
              </w:r>
            </w:hyperlink>
          </w:p>
          <w:p w14:paraId="7D3964F1" w14:textId="77777777" w:rsidR="00C24E2D" w:rsidRDefault="00C24E2D">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p>
          <w:p w14:paraId="1DE25D26" w14:textId="77777777" w:rsidR="00C24E2D" w:rsidRDefault="001E21D9">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20" w:history="1">
              <w:r w:rsidR="003E4F6A">
                <w:rPr>
                  <w:rStyle w:val="Hyperlink"/>
                  <w:b/>
                  <w:bCs/>
                  <w:sz w:val="21"/>
                  <w:szCs w:val="21"/>
                </w:rPr>
                <w:t>Medicaid &amp; CHIP Telehealth Toolkit</w:t>
              </w:r>
            </w:hyperlink>
          </w:p>
          <w:p w14:paraId="101C4E5A" w14:textId="77777777" w:rsidR="00C24E2D" w:rsidRDefault="00C24E2D">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p>
          <w:p w14:paraId="28F69A7A" w14:textId="77777777" w:rsidR="00C24E2D" w:rsidRDefault="001E21D9">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21" w:history="1">
              <w:r w:rsidR="003E4F6A">
                <w:rPr>
                  <w:rStyle w:val="Hyperlink"/>
                  <w:b/>
                  <w:bCs/>
                  <w:sz w:val="21"/>
                  <w:szCs w:val="21"/>
                </w:rPr>
                <w:t>Long Term Care Nursing Homes Telehealth Toolkit</w:t>
              </w:r>
            </w:hyperlink>
          </w:p>
          <w:p w14:paraId="1791149D" w14:textId="77777777" w:rsidR="00C24E2D" w:rsidRDefault="00C24E2D">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p>
          <w:p w14:paraId="33D079CB" w14:textId="77777777" w:rsidR="00C24E2D" w:rsidRDefault="001E21D9">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22" w:history="1">
              <w:r w:rsidR="003E4F6A">
                <w:rPr>
                  <w:rStyle w:val="Hyperlink"/>
                  <w:b/>
                  <w:sz w:val="21"/>
                  <w:szCs w:val="21"/>
                </w:rPr>
                <w:t>9/23 TSGAC Telehealth Webinar</w:t>
              </w:r>
            </w:hyperlink>
          </w:p>
          <w:p w14:paraId="5FDD2168" w14:textId="77777777" w:rsidR="00C24E2D" w:rsidRDefault="00C24E2D">
            <w:pPr>
              <w:cnfStyle w:val="000000100000" w:firstRow="0" w:lastRow="0" w:firstColumn="0" w:lastColumn="0" w:oddVBand="0" w:evenVBand="0" w:oddHBand="1" w:evenHBand="0" w:firstRowFirstColumn="0" w:firstRowLastColumn="0" w:lastRowFirstColumn="0" w:lastRowLastColumn="0"/>
              <w:rPr>
                <w:b/>
                <w:bCs/>
                <w:sz w:val="21"/>
                <w:szCs w:val="21"/>
              </w:rPr>
            </w:pPr>
          </w:p>
        </w:tc>
        <w:tc>
          <w:tcPr>
            <w:tcW w:w="3865" w:type="dxa"/>
          </w:tcPr>
          <w:p w14:paraId="4157899E" w14:textId="77777777" w:rsidR="00C24E2D" w:rsidRDefault="003E4F6A">
            <w:pPr>
              <w:pStyle w:val="ListParagraph"/>
              <w:numPr>
                <w:ilvl w:val="0"/>
                <w:numId w:val="7"/>
              </w:numPr>
              <w:ind w:left="158" w:hanging="174"/>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TSGAC request to establish a Joint Tribal/Federal workgroup to support telehealth expansion. </w:t>
            </w:r>
          </w:p>
          <w:p w14:paraId="56474F62" w14:textId="77777777" w:rsidR="00C24E2D" w:rsidRDefault="003E4F6A">
            <w:pPr>
              <w:pStyle w:val="ListParagraph"/>
              <w:numPr>
                <w:ilvl w:val="0"/>
                <w:numId w:val="7"/>
              </w:numPr>
              <w:ind w:left="16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IHS is in the process of finalizing a Project Management office to address overall support, modernization strategies to bring resources to stakeholders.</w:t>
            </w:r>
          </w:p>
          <w:p w14:paraId="08BD4C67" w14:textId="77777777" w:rsidR="00C24E2D" w:rsidRDefault="003E4F6A">
            <w:pPr>
              <w:pStyle w:val="ListParagraph"/>
              <w:numPr>
                <w:ilvl w:val="0"/>
                <w:numId w:val="7"/>
              </w:numPr>
              <w:ind w:left="158"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Tribes who participate in the Medicare QPP have had to request 5 hardship exemptions because RPMS does not meet the CMS requirements. Concern over penalties that these clinics will have to pay. </w:t>
            </w:r>
          </w:p>
        </w:tc>
      </w:tr>
      <w:tr w:rsidR="00C24E2D" w14:paraId="6D8641A6" w14:textId="77777777" w:rsidTr="00990B04">
        <w:trPr>
          <w:cantSplit/>
          <w:trHeight w:val="374"/>
        </w:trPr>
        <w:tc>
          <w:tcPr>
            <w:cnfStyle w:val="001000000000" w:firstRow="0" w:lastRow="0" w:firstColumn="1" w:lastColumn="0" w:oddVBand="0" w:evenVBand="0" w:oddHBand="0" w:evenHBand="0" w:firstRowFirstColumn="0" w:firstRowLastColumn="0" w:lastRowFirstColumn="0" w:lastRowLastColumn="0"/>
            <w:tcW w:w="2250" w:type="dxa"/>
          </w:tcPr>
          <w:p w14:paraId="75ED894E" w14:textId="77777777" w:rsidR="00C24E2D" w:rsidRDefault="003E4F6A">
            <w:pPr>
              <w:rPr>
                <w:b w:val="0"/>
                <w:bCs w:val="0"/>
                <w:sz w:val="22"/>
                <w:szCs w:val="22"/>
              </w:rPr>
            </w:pPr>
            <w:r>
              <w:rPr>
                <w:sz w:val="22"/>
                <w:szCs w:val="22"/>
              </w:rPr>
              <w:t>340B Drug Discount Program</w:t>
            </w:r>
          </w:p>
          <w:p w14:paraId="34B96CFF" w14:textId="77777777" w:rsidR="00C24E2D" w:rsidRDefault="003E4F6A">
            <w:pPr>
              <w:rPr>
                <w:sz w:val="22"/>
                <w:szCs w:val="22"/>
              </w:rPr>
            </w:pPr>
            <w:r>
              <w:rPr>
                <w:b w:val="0"/>
                <w:bCs w:val="0"/>
                <w:i/>
                <w:iCs/>
                <w:sz w:val="22"/>
                <w:szCs w:val="22"/>
              </w:rPr>
              <w:t>HRSA</w:t>
            </w:r>
          </w:p>
        </w:tc>
        <w:tc>
          <w:tcPr>
            <w:tcW w:w="3420" w:type="dxa"/>
            <w:gridSpan w:val="2"/>
          </w:tcPr>
          <w:p w14:paraId="48974F9F" w14:textId="77777777" w:rsidR="00C24E2D" w:rsidRDefault="003E4F6A">
            <w:pPr>
              <w:cnfStyle w:val="000000000000" w:firstRow="0" w:lastRow="0" w:firstColumn="0" w:lastColumn="0" w:oddVBand="0" w:evenVBand="0" w:oddHBand="0" w:evenHBand="0" w:firstRowFirstColumn="0" w:firstRowLastColumn="0" w:lastRowFirstColumn="0" w:lastRowLastColumn="0"/>
              <w:rPr>
                <w:sz w:val="21"/>
                <w:szCs w:val="21"/>
              </w:rPr>
            </w:pPr>
            <w:r>
              <w:rPr>
                <w:b/>
                <w:bCs/>
                <w:i/>
                <w:iCs/>
                <w:sz w:val="21"/>
                <w:szCs w:val="21"/>
              </w:rPr>
              <w:t>Issue</w:t>
            </w:r>
            <w:r>
              <w:rPr>
                <w:b/>
                <w:bCs/>
                <w:sz w:val="21"/>
                <w:szCs w:val="21"/>
              </w:rPr>
              <w:t>:</w:t>
            </w:r>
            <w:r>
              <w:rPr>
                <w:sz w:val="21"/>
                <w:szCs w:val="21"/>
              </w:rPr>
              <w:t xml:space="preserve"> </w:t>
            </w:r>
            <w:proofErr w:type="gramStart"/>
            <w:r>
              <w:rPr>
                <w:sz w:val="21"/>
                <w:szCs w:val="21"/>
              </w:rPr>
              <w:t>A number of</w:t>
            </w:r>
            <w:proofErr w:type="gramEnd"/>
            <w:r>
              <w:rPr>
                <w:sz w:val="21"/>
                <w:szCs w:val="21"/>
              </w:rPr>
              <w:t xml:space="preserve"> pharmaceutical manufacturers announced they will no longer allow access to 340B drugs through contract pharmacies.  Other pharmaceutical manufacturers are attempting to require covered entities to submit to burdensome data sharing requests in order to receive 340B drugs.</w:t>
            </w:r>
          </w:p>
          <w:p w14:paraId="6FD6708F" w14:textId="77777777" w:rsidR="00C24E2D" w:rsidRDefault="003E4F6A">
            <w:pPr>
              <w:pStyle w:val="ListParagraph"/>
              <w:numPr>
                <w:ilvl w:val="0"/>
                <w:numId w:val="4"/>
              </w:numPr>
              <w:ind w:left="158" w:hanging="158"/>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The 340B program allows covered entities, which include tribally operated outpatient clinics, to get discounted/repriced drugs. HRSA guidelines allow tribal clinics without pharmacies to get access to 340B drugs using contract pharmacies. </w:t>
            </w:r>
          </w:p>
          <w:p w14:paraId="10A90A13" w14:textId="77777777" w:rsidR="00C24E2D" w:rsidRDefault="003E4F6A">
            <w:pPr>
              <w:pStyle w:val="ListParagraph"/>
              <w:numPr>
                <w:ilvl w:val="0"/>
                <w:numId w:val="4"/>
              </w:numPr>
              <w:ind w:left="178" w:hanging="178"/>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lastRenderedPageBreak/>
              <w:t>Some pharmaceutical companies are no longer providing access to 340B drugs through contract pharmacies.   This is inconsistent with the 340B statute and HRSA guidelines that have been in place since 1996.</w:t>
            </w:r>
          </w:p>
          <w:p w14:paraId="3FF43293" w14:textId="77777777" w:rsidR="00C24E2D" w:rsidRDefault="003E4F6A">
            <w:pPr>
              <w:pStyle w:val="ListParagraph"/>
              <w:numPr>
                <w:ilvl w:val="0"/>
                <w:numId w:val="4"/>
              </w:numPr>
              <w:ind w:left="178" w:hanging="178"/>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Some manufacturers have asked Tribal clinics </w:t>
            </w:r>
            <w:proofErr w:type="gramStart"/>
            <w:r>
              <w:rPr>
                <w:sz w:val="21"/>
                <w:szCs w:val="21"/>
              </w:rPr>
              <w:t>to  sign</w:t>
            </w:r>
            <w:proofErr w:type="gramEnd"/>
            <w:r>
              <w:rPr>
                <w:sz w:val="21"/>
                <w:szCs w:val="21"/>
              </w:rPr>
              <w:t>-up to a manufacturer portal. There is no requirement to submit this burdensome reporting.</w:t>
            </w:r>
          </w:p>
        </w:tc>
        <w:tc>
          <w:tcPr>
            <w:tcW w:w="3600" w:type="dxa"/>
          </w:tcPr>
          <w:p w14:paraId="164509AC" w14:textId="77777777" w:rsidR="00C24E2D" w:rsidRDefault="001E21D9">
            <w:pPr>
              <w:cnfStyle w:val="000000000000" w:firstRow="0" w:lastRow="0" w:firstColumn="0" w:lastColumn="0" w:oddVBand="0" w:evenVBand="0" w:oddHBand="0" w:evenHBand="0" w:firstRowFirstColumn="0" w:firstRowLastColumn="0" w:lastRowFirstColumn="0" w:lastRowLastColumn="0"/>
              <w:rPr>
                <w:b/>
                <w:bCs/>
                <w:sz w:val="21"/>
                <w:szCs w:val="21"/>
              </w:rPr>
            </w:pPr>
            <w:hyperlink r:id="rId23" w:history="1">
              <w:r w:rsidR="003E4F6A">
                <w:rPr>
                  <w:rStyle w:val="Hyperlink"/>
                  <w:b/>
                  <w:bCs/>
                  <w:sz w:val="21"/>
                  <w:szCs w:val="21"/>
                </w:rPr>
                <w:t>12/30/2020: HRSA Advisory Opinion 20-06 on Contract Pharmacies Under the 340B Program</w:t>
              </w:r>
            </w:hyperlink>
          </w:p>
          <w:p w14:paraId="7190BDE9" w14:textId="77777777" w:rsidR="00C24E2D" w:rsidRDefault="00C24E2D">
            <w:pPr>
              <w:cnfStyle w:val="000000000000" w:firstRow="0" w:lastRow="0" w:firstColumn="0" w:lastColumn="0" w:oddVBand="0" w:evenVBand="0" w:oddHBand="0" w:evenHBand="0" w:firstRowFirstColumn="0" w:firstRowLastColumn="0" w:lastRowFirstColumn="0" w:lastRowLastColumn="0"/>
              <w:rPr>
                <w:b/>
                <w:bCs/>
                <w:sz w:val="21"/>
                <w:szCs w:val="21"/>
              </w:rPr>
            </w:pPr>
          </w:p>
          <w:p w14:paraId="58D276D9" w14:textId="77777777" w:rsidR="00C24E2D" w:rsidRDefault="003E4F6A" w:rsidP="001E21D9">
            <w:pPr>
              <w:pStyle w:val="ListParagraph"/>
              <w:numPr>
                <w:ilvl w:val="0"/>
                <w:numId w:val="18"/>
              </w:numPr>
              <w:ind w:left="258" w:hanging="180"/>
              <w:cnfStyle w:val="000000000000" w:firstRow="0" w:lastRow="0" w:firstColumn="0" w:lastColumn="0" w:oddVBand="0" w:evenVBand="0" w:oddHBand="0" w:evenHBand="0" w:firstRowFirstColumn="0" w:firstRowLastColumn="0" w:lastRowFirstColumn="0" w:lastRowLastColumn="0"/>
              <w:rPr>
                <w:b/>
                <w:bCs/>
                <w:sz w:val="21"/>
                <w:szCs w:val="21"/>
              </w:rPr>
            </w:pPr>
            <w:r>
              <w:rPr>
                <w:b/>
                <w:bCs/>
                <w:sz w:val="21"/>
                <w:szCs w:val="21"/>
              </w:rPr>
              <w:t>HRSA clarified that drug manufacturers must provide 340B discounts when a contract pharmacy is acting as an agent of a covered entity, providing services on behalf of the covered entity.</w:t>
            </w:r>
          </w:p>
          <w:p w14:paraId="1D264F8E" w14:textId="77777777" w:rsidR="00C24E2D" w:rsidRDefault="00C24E2D">
            <w:pPr>
              <w:cnfStyle w:val="000000000000" w:firstRow="0" w:lastRow="0" w:firstColumn="0" w:lastColumn="0" w:oddVBand="0" w:evenVBand="0" w:oddHBand="0" w:evenHBand="0" w:firstRowFirstColumn="0" w:firstRowLastColumn="0" w:lastRowFirstColumn="0" w:lastRowLastColumn="0"/>
              <w:rPr>
                <w:sz w:val="21"/>
                <w:szCs w:val="21"/>
              </w:rPr>
            </w:pPr>
          </w:p>
          <w:p w14:paraId="61C6C390" w14:textId="77777777" w:rsidR="00C24E2D" w:rsidRDefault="003E4F6A">
            <w:pPr>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10/7/2020 HRSA Consultation</w:t>
            </w:r>
          </w:p>
          <w:p w14:paraId="2149685F" w14:textId="77777777" w:rsidR="00C24E2D" w:rsidRDefault="00C24E2D">
            <w:pPr>
              <w:cnfStyle w:val="000000000000" w:firstRow="0" w:lastRow="0" w:firstColumn="0" w:lastColumn="0" w:oddVBand="0" w:evenVBand="0" w:oddHBand="0" w:evenHBand="0" w:firstRowFirstColumn="0" w:firstRowLastColumn="0" w:lastRowFirstColumn="0" w:lastRowLastColumn="0"/>
              <w:rPr>
                <w:b/>
                <w:bCs/>
                <w:sz w:val="21"/>
                <w:szCs w:val="21"/>
              </w:rPr>
            </w:pPr>
          </w:p>
          <w:p w14:paraId="60C90C1B" w14:textId="77777777" w:rsidR="00C24E2D" w:rsidRDefault="00C24E2D" w:rsidP="007577AE">
            <w:pPr>
              <w:cnfStyle w:val="000000000000" w:firstRow="0" w:lastRow="0" w:firstColumn="0" w:lastColumn="0" w:oddVBand="0" w:evenVBand="0" w:oddHBand="0" w:evenHBand="0" w:firstRowFirstColumn="0" w:firstRowLastColumn="0" w:lastRowFirstColumn="0" w:lastRowLastColumn="0"/>
              <w:rPr>
                <w:b/>
                <w:bCs/>
                <w:sz w:val="21"/>
                <w:szCs w:val="21"/>
              </w:rPr>
            </w:pPr>
          </w:p>
        </w:tc>
        <w:tc>
          <w:tcPr>
            <w:tcW w:w="3865" w:type="dxa"/>
          </w:tcPr>
          <w:p w14:paraId="1BE24CAA" w14:textId="77777777" w:rsidR="00C24E2D" w:rsidRDefault="003E4F6A" w:rsidP="00C95034">
            <w:pPr>
              <w:pStyle w:val="ListParagraph"/>
              <w:numPr>
                <w:ilvl w:val="0"/>
                <w:numId w:val="3"/>
              </w:numPr>
              <w:ind w:left="164" w:hanging="176"/>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Two lawsuits have been filed against HHS to require HRSA to enforce the law, and to promulgate alternative dispute resolution regulations required by the 340B statute.  These regulations would give covered entities like Tribal clinics the right to dispute actions of manufacturers like these.</w:t>
            </w:r>
          </w:p>
          <w:p w14:paraId="53A3DBF7" w14:textId="77777777" w:rsidR="00C24E2D" w:rsidRDefault="003E4F6A" w:rsidP="00C95034">
            <w:pPr>
              <w:pStyle w:val="ListParagraph"/>
              <w:numPr>
                <w:ilvl w:val="0"/>
                <w:numId w:val="1"/>
              </w:numPr>
              <w:ind w:left="168"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Senate Republicans </w:t>
            </w:r>
            <w:proofErr w:type="gramStart"/>
            <w:r>
              <w:rPr>
                <w:sz w:val="21"/>
                <w:szCs w:val="21"/>
              </w:rPr>
              <w:t>have  requested</w:t>
            </w:r>
            <w:proofErr w:type="gramEnd"/>
            <w:r>
              <w:rPr>
                <w:sz w:val="21"/>
                <w:szCs w:val="21"/>
              </w:rPr>
              <w:t xml:space="preserve"> testimony on how to improve the 340B program </w:t>
            </w:r>
          </w:p>
          <w:p w14:paraId="503A7423" w14:textId="77777777" w:rsidR="00C24E2D" w:rsidRDefault="003E4F6A" w:rsidP="00C95034">
            <w:pPr>
              <w:pStyle w:val="ListParagraph"/>
              <w:numPr>
                <w:ilvl w:val="0"/>
                <w:numId w:val="1"/>
              </w:numPr>
              <w:ind w:left="168" w:hanging="168"/>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HRSA implemented the Alternative Dispute Resolution regulations.  Tribes can file claims against manufacturers through this ADR process.</w:t>
            </w:r>
          </w:p>
        </w:tc>
      </w:tr>
      <w:tr w:rsidR="00C24E2D" w14:paraId="51663C5D" w14:textId="77777777" w:rsidTr="00990B04">
        <w:trPr>
          <w:cnfStyle w:val="000000100000" w:firstRow="0" w:lastRow="0" w:firstColumn="0" w:lastColumn="0" w:oddVBand="0" w:evenVBand="0" w:oddHBand="1" w:evenHBand="0" w:firstRowFirstColumn="0" w:firstRowLastColumn="0" w:lastRowFirstColumn="0" w:lastRowLastColumn="0"/>
          <w:cantSplit/>
          <w:trHeight w:val="374"/>
        </w:trPr>
        <w:tc>
          <w:tcPr>
            <w:cnfStyle w:val="001000000000" w:firstRow="0" w:lastRow="0" w:firstColumn="1" w:lastColumn="0" w:oddVBand="0" w:evenVBand="0" w:oddHBand="0" w:evenHBand="0" w:firstRowFirstColumn="0" w:firstRowLastColumn="0" w:lastRowFirstColumn="0" w:lastRowLastColumn="0"/>
            <w:tcW w:w="2250" w:type="dxa"/>
          </w:tcPr>
          <w:p w14:paraId="52915C76" w14:textId="77777777" w:rsidR="00C24E2D" w:rsidRDefault="003E4F6A">
            <w:pPr>
              <w:rPr>
                <w:b w:val="0"/>
                <w:bCs w:val="0"/>
                <w:sz w:val="22"/>
                <w:szCs w:val="22"/>
              </w:rPr>
            </w:pPr>
            <w:r>
              <w:rPr>
                <w:sz w:val="22"/>
                <w:szCs w:val="22"/>
              </w:rPr>
              <w:t>CHAP Nationalization</w:t>
            </w:r>
          </w:p>
          <w:p w14:paraId="2D950F15" w14:textId="77777777" w:rsidR="00C24E2D" w:rsidRDefault="003E4F6A">
            <w:pPr>
              <w:rPr>
                <w:b w:val="0"/>
                <w:bCs w:val="0"/>
                <w:i/>
                <w:iCs/>
                <w:sz w:val="22"/>
                <w:szCs w:val="22"/>
              </w:rPr>
            </w:pPr>
            <w:r>
              <w:rPr>
                <w:b w:val="0"/>
                <w:bCs w:val="0"/>
                <w:i/>
                <w:iCs/>
                <w:sz w:val="22"/>
                <w:szCs w:val="22"/>
              </w:rPr>
              <w:t>IHS, HHS, CMS, SAMHSA, HRSA</w:t>
            </w:r>
          </w:p>
        </w:tc>
        <w:tc>
          <w:tcPr>
            <w:tcW w:w="3420" w:type="dxa"/>
            <w:gridSpan w:val="2"/>
          </w:tcPr>
          <w:p w14:paraId="4A7067E7" w14:textId="77777777" w:rsidR="00C24E2D" w:rsidRDefault="003E4F6A">
            <w:pPr>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Initiation of tribal consultation on the use of $5M from FY 2020 appropriations (available until 9/30/21). Feedback requested:</w:t>
            </w:r>
          </w:p>
          <w:p w14:paraId="554EE980" w14:textId="77777777" w:rsidR="00C24E2D" w:rsidRDefault="003E4F6A">
            <w:pPr>
              <w:pStyle w:val="ListParagraph"/>
              <w:numPr>
                <w:ilvl w:val="0"/>
                <w:numId w:val="2"/>
              </w:numPr>
              <w:ind w:left="431"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How funding can be used to support Tribes to begin operating CHAP;</w:t>
            </w:r>
          </w:p>
          <w:p w14:paraId="4F60B282" w14:textId="77777777" w:rsidR="00C24E2D" w:rsidRDefault="003E4F6A">
            <w:pPr>
              <w:pStyle w:val="ListParagraph"/>
              <w:numPr>
                <w:ilvl w:val="0"/>
                <w:numId w:val="2"/>
              </w:numPr>
              <w:ind w:left="431"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Development of National and Area Certification Boards;</w:t>
            </w:r>
          </w:p>
          <w:p w14:paraId="4BAD0B5A" w14:textId="77777777" w:rsidR="00C24E2D" w:rsidRDefault="003E4F6A">
            <w:pPr>
              <w:pStyle w:val="ListParagraph"/>
              <w:numPr>
                <w:ilvl w:val="0"/>
                <w:numId w:val="2"/>
              </w:numPr>
              <w:ind w:left="431"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Training investment; and</w:t>
            </w:r>
          </w:p>
          <w:p w14:paraId="48996BA3" w14:textId="77777777" w:rsidR="00C24E2D" w:rsidRDefault="003E4F6A">
            <w:pPr>
              <w:pStyle w:val="ListParagraph"/>
              <w:numPr>
                <w:ilvl w:val="0"/>
                <w:numId w:val="2"/>
              </w:numPr>
              <w:ind w:left="431"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Community education.</w:t>
            </w:r>
          </w:p>
        </w:tc>
        <w:tc>
          <w:tcPr>
            <w:tcW w:w="3600" w:type="dxa"/>
          </w:tcPr>
          <w:p w14:paraId="40C3344A" w14:textId="77777777" w:rsidR="00C24E2D" w:rsidRDefault="001E21D9">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24" w:history="1">
              <w:r w:rsidR="003E4F6A">
                <w:rPr>
                  <w:rStyle w:val="Hyperlink"/>
                  <w:b/>
                  <w:bCs/>
                  <w:sz w:val="21"/>
                  <w:szCs w:val="21"/>
                </w:rPr>
                <w:t>DTLL: 9/21</w:t>
              </w:r>
            </w:hyperlink>
          </w:p>
          <w:p w14:paraId="1BB9E030" w14:textId="77777777" w:rsidR="00C24E2D" w:rsidRDefault="00C24E2D">
            <w:pPr>
              <w:cnfStyle w:val="000000100000" w:firstRow="0" w:lastRow="0" w:firstColumn="0" w:lastColumn="0" w:oddVBand="0" w:evenVBand="0" w:oddHBand="1" w:evenHBand="0" w:firstRowFirstColumn="0" w:firstRowLastColumn="0" w:lastRowFirstColumn="0" w:lastRowLastColumn="0"/>
              <w:rPr>
                <w:b/>
                <w:bCs/>
                <w:sz w:val="21"/>
                <w:szCs w:val="21"/>
              </w:rPr>
            </w:pPr>
          </w:p>
          <w:p w14:paraId="44DA5B18" w14:textId="77777777" w:rsidR="00C24E2D" w:rsidRDefault="001E21D9">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25" w:history="1">
              <w:r w:rsidR="003E4F6A">
                <w:rPr>
                  <w:rStyle w:val="Hyperlink"/>
                  <w:b/>
                  <w:bCs/>
                  <w:sz w:val="21"/>
                  <w:szCs w:val="21"/>
                </w:rPr>
                <w:t>CHAP Policy: 7/2</w:t>
              </w:r>
            </w:hyperlink>
          </w:p>
          <w:p w14:paraId="07E57067" w14:textId="77777777" w:rsidR="00C24E2D" w:rsidRDefault="00C24E2D">
            <w:pPr>
              <w:pStyle w:val="ListParagraph"/>
              <w:cnfStyle w:val="000000100000" w:firstRow="0" w:lastRow="0" w:firstColumn="0" w:lastColumn="0" w:oddVBand="0" w:evenVBand="0" w:oddHBand="1" w:evenHBand="0" w:firstRowFirstColumn="0" w:firstRowLastColumn="0" w:lastRowFirstColumn="0" w:lastRowLastColumn="0"/>
              <w:rPr>
                <w:rStyle w:val="Hyperlink"/>
                <w:b/>
                <w:bCs/>
              </w:rPr>
            </w:pPr>
          </w:p>
          <w:p w14:paraId="0815DA3E" w14:textId="77777777" w:rsidR="00C24E2D" w:rsidRDefault="003E4F6A">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11/20/2020 TSGAC submitted comments on the $5 million for national CHAP expansion.</w:t>
            </w:r>
          </w:p>
          <w:p w14:paraId="49622030" w14:textId="77777777" w:rsidR="00C24E2D" w:rsidRDefault="003E4F6A">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b/>
                <w:bCs/>
                <w:color w:val="C00000"/>
                <w:sz w:val="21"/>
                <w:szCs w:val="21"/>
              </w:rPr>
              <w:t>FOLLOW-UP</w:t>
            </w:r>
            <w:r>
              <w:rPr>
                <w:sz w:val="21"/>
                <w:szCs w:val="21"/>
              </w:rPr>
              <w:t>: Need for resources for training, certification and reimbursement</w:t>
            </w:r>
          </w:p>
          <w:p w14:paraId="5479BCF5" w14:textId="77777777" w:rsidR="00C24E2D" w:rsidRDefault="003E4F6A" w:rsidP="001E21D9">
            <w:pPr>
              <w:pStyle w:val="ListParagraph"/>
              <w:numPr>
                <w:ilvl w:val="0"/>
                <w:numId w:val="11"/>
              </w:numPr>
              <w:ind w:left="34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Inclusion of ISDEAA and Self-Governance Tribes from the beginning.</w:t>
            </w:r>
          </w:p>
          <w:p w14:paraId="5D52F5F1" w14:textId="77777777" w:rsidR="00C24E2D" w:rsidRDefault="003E4F6A" w:rsidP="001E21D9">
            <w:pPr>
              <w:pStyle w:val="ListParagraph"/>
              <w:numPr>
                <w:ilvl w:val="0"/>
                <w:numId w:val="11"/>
              </w:numPr>
              <w:ind w:left="34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Creation of CHAP Brief for Self-Gov Tribes.</w:t>
            </w:r>
          </w:p>
        </w:tc>
        <w:tc>
          <w:tcPr>
            <w:tcW w:w="3865" w:type="dxa"/>
          </w:tcPr>
          <w:p w14:paraId="52B210D1" w14:textId="77777777" w:rsidR="00C24E2D" w:rsidRDefault="003E4F6A">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National CHAP creation- Indian Health Manual Circular 20-06</w:t>
            </w:r>
          </w:p>
          <w:p w14:paraId="143BFBD8" w14:textId="77777777" w:rsidR="00C24E2D" w:rsidRDefault="003E4F6A">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IHCIA Sec.119: Authorizes the Secretary to establish a national CHAP.</w:t>
            </w:r>
          </w:p>
          <w:p w14:paraId="5C393FBF" w14:textId="77777777" w:rsidR="00C24E2D" w:rsidRDefault="003E4F6A">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Sec.10221(b) of ACA allows use of DHATs when authorized under state law.</w:t>
            </w:r>
          </w:p>
          <w:p w14:paraId="1B4F57A8" w14:textId="77777777" w:rsidR="00C24E2D" w:rsidRDefault="003E4F6A">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Involve TSGAC before decisions are made.</w:t>
            </w:r>
          </w:p>
          <w:p w14:paraId="4DE296A1" w14:textId="77777777" w:rsidR="00C24E2D" w:rsidRDefault="003E4F6A">
            <w:pPr>
              <w:pStyle w:val="ListParagraph"/>
              <w:numPr>
                <w:ilvl w:val="0"/>
                <w:numId w:val="1"/>
              </w:numPr>
              <w:ind w:left="7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TSGAC submitted comments.</w:t>
            </w:r>
          </w:p>
          <w:p w14:paraId="08B98D16" w14:textId="77777777" w:rsidR="00C24E2D" w:rsidRDefault="00C24E2D">
            <w:pPr>
              <w:cnfStyle w:val="000000100000" w:firstRow="0" w:lastRow="0" w:firstColumn="0" w:lastColumn="0" w:oddVBand="0" w:evenVBand="0" w:oddHBand="1" w:evenHBand="0" w:firstRowFirstColumn="0" w:firstRowLastColumn="0" w:lastRowFirstColumn="0" w:lastRowLastColumn="0"/>
              <w:rPr>
                <w:sz w:val="21"/>
                <w:szCs w:val="21"/>
              </w:rPr>
            </w:pPr>
          </w:p>
        </w:tc>
      </w:tr>
      <w:tr w:rsidR="00C24E2D" w14:paraId="03DB7C1D" w14:textId="77777777" w:rsidTr="00990B04">
        <w:trPr>
          <w:cantSplit/>
          <w:trHeight w:val="391"/>
        </w:trPr>
        <w:tc>
          <w:tcPr>
            <w:cnfStyle w:val="001000000000" w:firstRow="0" w:lastRow="0" w:firstColumn="1" w:lastColumn="0" w:oddVBand="0" w:evenVBand="0" w:oddHBand="0" w:evenHBand="0" w:firstRowFirstColumn="0" w:firstRowLastColumn="0" w:lastRowFirstColumn="0" w:lastRowLastColumn="0"/>
            <w:tcW w:w="2250" w:type="dxa"/>
          </w:tcPr>
          <w:p w14:paraId="5A269E8A" w14:textId="77777777" w:rsidR="00C24E2D" w:rsidRDefault="003E4F6A">
            <w:pPr>
              <w:rPr>
                <w:b w:val="0"/>
                <w:bCs w:val="0"/>
                <w:sz w:val="22"/>
                <w:szCs w:val="22"/>
              </w:rPr>
            </w:pPr>
            <w:r>
              <w:rPr>
                <w:sz w:val="22"/>
                <w:szCs w:val="22"/>
              </w:rPr>
              <w:t>Medicare Priority Issues</w:t>
            </w:r>
          </w:p>
          <w:p w14:paraId="169CFD69" w14:textId="77777777" w:rsidR="00C24E2D" w:rsidRDefault="003E4F6A">
            <w:pPr>
              <w:rPr>
                <w:b w:val="0"/>
                <w:bCs w:val="0"/>
                <w:sz w:val="22"/>
                <w:szCs w:val="22"/>
              </w:rPr>
            </w:pPr>
            <w:r>
              <w:rPr>
                <w:b w:val="0"/>
                <w:bCs w:val="0"/>
                <w:sz w:val="22"/>
                <w:szCs w:val="22"/>
              </w:rPr>
              <w:t>(non-COVID-19)</w:t>
            </w:r>
          </w:p>
          <w:p w14:paraId="1FB2607D" w14:textId="77777777" w:rsidR="00C24E2D" w:rsidRDefault="003E4F6A">
            <w:pPr>
              <w:rPr>
                <w:b w:val="0"/>
                <w:i/>
                <w:sz w:val="22"/>
                <w:szCs w:val="22"/>
              </w:rPr>
            </w:pPr>
            <w:r>
              <w:rPr>
                <w:b w:val="0"/>
                <w:i/>
                <w:sz w:val="22"/>
                <w:szCs w:val="22"/>
              </w:rPr>
              <w:t>CMS, IHS</w:t>
            </w:r>
          </w:p>
        </w:tc>
        <w:tc>
          <w:tcPr>
            <w:tcW w:w="3420" w:type="dxa"/>
            <w:gridSpan w:val="2"/>
          </w:tcPr>
          <w:p w14:paraId="192C6FDB" w14:textId="1390E6B8" w:rsidR="00C24E2D" w:rsidRDefault="003E4F6A" w:rsidP="001E21D9">
            <w:pPr>
              <w:pStyle w:val="ListParagraph"/>
              <w:numPr>
                <w:ilvl w:val="0"/>
                <w:numId w:val="13"/>
              </w:numPr>
              <w:ind w:left="16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Need for update to Chapter 19 of the Medicare Claims Processing Manual to correct billing disputes with </w:t>
            </w:r>
            <w:proofErr w:type="spellStart"/>
            <w:r>
              <w:rPr>
                <w:sz w:val="21"/>
                <w:szCs w:val="21"/>
              </w:rPr>
              <w:t>Novitas</w:t>
            </w:r>
            <w:proofErr w:type="spellEnd"/>
            <w:r>
              <w:rPr>
                <w:sz w:val="21"/>
                <w:szCs w:val="21"/>
              </w:rPr>
              <w:t>, the CMS IHS/Tribal MAC.</w:t>
            </w:r>
          </w:p>
          <w:p w14:paraId="38EFD8E4" w14:textId="77777777" w:rsidR="00BF5EA8" w:rsidRDefault="00BF5EA8" w:rsidP="00BF5EA8">
            <w:pPr>
              <w:pStyle w:val="ListParagraph"/>
              <w:ind w:left="164"/>
              <w:cnfStyle w:val="000000000000" w:firstRow="0" w:lastRow="0" w:firstColumn="0" w:lastColumn="0" w:oddVBand="0" w:evenVBand="0" w:oddHBand="0" w:evenHBand="0" w:firstRowFirstColumn="0" w:firstRowLastColumn="0" w:lastRowFirstColumn="0" w:lastRowLastColumn="0"/>
              <w:rPr>
                <w:sz w:val="21"/>
                <w:szCs w:val="21"/>
              </w:rPr>
            </w:pPr>
          </w:p>
          <w:p w14:paraId="58CBF33B" w14:textId="0BAF69B8" w:rsidR="00C24E2D" w:rsidRDefault="003E4F6A" w:rsidP="001E21D9">
            <w:pPr>
              <w:pStyle w:val="ListParagraph"/>
              <w:numPr>
                <w:ilvl w:val="0"/>
                <w:numId w:val="13"/>
              </w:numPr>
              <w:ind w:left="170" w:hanging="186"/>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Need for an IHS/Tribal Accommodation under the Hospital Acquired Condition (HAC) Rules for Tribal hospitals to not be identified as “lowest performing hospitals”, even though they are well performing hospitals.  </w:t>
            </w:r>
            <w:r>
              <w:rPr>
                <w:sz w:val="21"/>
                <w:szCs w:val="21"/>
              </w:rPr>
              <w:lastRenderedPageBreak/>
              <w:t>Exemption for IHS Hospitals from the Hospital Star Rating System</w:t>
            </w:r>
          </w:p>
          <w:p w14:paraId="63776BD8" w14:textId="77777777" w:rsidR="00BF5EA8" w:rsidRPr="00BF5EA8" w:rsidRDefault="00BF5EA8" w:rsidP="00BF5EA8">
            <w:pPr>
              <w:cnfStyle w:val="000000000000" w:firstRow="0" w:lastRow="0" w:firstColumn="0" w:lastColumn="0" w:oddVBand="0" w:evenVBand="0" w:oddHBand="0" w:evenHBand="0" w:firstRowFirstColumn="0" w:firstRowLastColumn="0" w:lastRowFirstColumn="0" w:lastRowLastColumn="0"/>
              <w:rPr>
                <w:sz w:val="21"/>
                <w:szCs w:val="21"/>
              </w:rPr>
            </w:pPr>
          </w:p>
          <w:p w14:paraId="65797472" w14:textId="7D74A2E4" w:rsidR="001D5D40" w:rsidRPr="00990B04" w:rsidRDefault="003E4F6A" w:rsidP="001E21D9">
            <w:pPr>
              <w:pStyle w:val="ListParagraph"/>
              <w:numPr>
                <w:ilvl w:val="0"/>
                <w:numId w:val="13"/>
              </w:numPr>
              <w:ind w:left="16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Increase flexibility in Medicare Definition of Telemedicine Services.</w:t>
            </w:r>
          </w:p>
          <w:p w14:paraId="076E67C3" w14:textId="77777777" w:rsidR="00BF5EA8" w:rsidRDefault="00BF5EA8" w:rsidP="00BF5EA8">
            <w:pPr>
              <w:pStyle w:val="ListParagraph"/>
              <w:ind w:left="164"/>
              <w:cnfStyle w:val="000000000000" w:firstRow="0" w:lastRow="0" w:firstColumn="0" w:lastColumn="0" w:oddVBand="0" w:evenVBand="0" w:oddHBand="0" w:evenHBand="0" w:firstRowFirstColumn="0" w:firstRowLastColumn="0" w:lastRowFirstColumn="0" w:lastRowLastColumn="0"/>
              <w:rPr>
                <w:sz w:val="21"/>
                <w:szCs w:val="21"/>
              </w:rPr>
            </w:pPr>
          </w:p>
          <w:p w14:paraId="45EEF740" w14:textId="318F4915" w:rsidR="00C24E2D" w:rsidRPr="00BF5EA8" w:rsidRDefault="003E4F6A" w:rsidP="001E21D9">
            <w:pPr>
              <w:pStyle w:val="ListParagraph"/>
              <w:numPr>
                <w:ilvl w:val="0"/>
                <w:numId w:val="13"/>
              </w:numPr>
              <w:ind w:left="16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Medicare Part C – Payment by Medicare Advantage Plans at OMB rate. </w:t>
            </w:r>
            <w:r>
              <w:rPr>
                <w:rFonts w:ascii="Times New Roman" w:eastAsia="Calibri" w:hAnsi="Times New Roman"/>
              </w:rPr>
              <w:t xml:space="preserve"> </w:t>
            </w:r>
            <w:r>
              <w:rPr>
                <w:rFonts w:eastAsia="Calibri" w:cstheme="minorHAnsi"/>
                <w:sz w:val="21"/>
              </w:rPr>
              <w:t>Medicare Advantage plans are not reimbursing Indian health care providers at the IHS OMB rates, and often refusing to reimburse at all.</w:t>
            </w:r>
            <w:r>
              <w:rPr>
                <w:rFonts w:ascii="Times New Roman" w:eastAsia="Calibri" w:hAnsi="Times New Roman"/>
                <w:sz w:val="21"/>
              </w:rPr>
              <w:t xml:space="preserve">  </w:t>
            </w:r>
          </w:p>
          <w:p w14:paraId="60F368AB" w14:textId="77777777" w:rsidR="00BF5EA8" w:rsidRDefault="00BF5EA8" w:rsidP="00BF5EA8">
            <w:pPr>
              <w:pStyle w:val="ListParagraph"/>
              <w:ind w:left="164"/>
              <w:cnfStyle w:val="000000000000" w:firstRow="0" w:lastRow="0" w:firstColumn="0" w:lastColumn="0" w:oddVBand="0" w:evenVBand="0" w:oddHBand="0" w:evenHBand="0" w:firstRowFirstColumn="0" w:firstRowLastColumn="0" w:lastRowFirstColumn="0" w:lastRowLastColumn="0"/>
              <w:rPr>
                <w:sz w:val="21"/>
                <w:szCs w:val="21"/>
              </w:rPr>
            </w:pPr>
          </w:p>
          <w:p w14:paraId="7B903560" w14:textId="284E4792" w:rsidR="00C24E2D" w:rsidRDefault="003E4F6A" w:rsidP="001E21D9">
            <w:pPr>
              <w:pStyle w:val="ListParagraph"/>
              <w:numPr>
                <w:ilvl w:val="0"/>
                <w:numId w:val="13"/>
              </w:numPr>
              <w:ind w:left="16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Medicare Part D Reimbursement from PBMs are reducing payments and reimbursement is being based on tribes’ ability to access drugs at discount rates.</w:t>
            </w:r>
          </w:p>
          <w:p w14:paraId="5E1C746B" w14:textId="77777777" w:rsidR="00BF5EA8" w:rsidRPr="00BF5EA8" w:rsidRDefault="00BF5EA8" w:rsidP="00BF5EA8">
            <w:pPr>
              <w:cnfStyle w:val="000000000000" w:firstRow="0" w:lastRow="0" w:firstColumn="0" w:lastColumn="0" w:oddVBand="0" w:evenVBand="0" w:oddHBand="0" w:evenHBand="0" w:firstRowFirstColumn="0" w:firstRowLastColumn="0" w:lastRowFirstColumn="0" w:lastRowLastColumn="0"/>
              <w:rPr>
                <w:sz w:val="21"/>
                <w:szCs w:val="21"/>
              </w:rPr>
            </w:pPr>
          </w:p>
          <w:p w14:paraId="665CAFFD" w14:textId="31D0072B" w:rsidR="00C24E2D" w:rsidRDefault="003E4F6A" w:rsidP="001E21D9">
            <w:pPr>
              <w:pStyle w:val="ListParagraph"/>
              <w:numPr>
                <w:ilvl w:val="0"/>
                <w:numId w:val="13"/>
              </w:numPr>
              <w:ind w:left="16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Medicare does not allow reimbursement to Tribes for direct sponsorship of Part B premiums, </w:t>
            </w:r>
            <w:proofErr w:type="gramStart"/>
            <w:r>
              <w:rPr>
                <w:sz w:val="21"/>
                <w:szCs w:val="21"/>
              </w:rPr>
              <w:t>similar to</w:t>
            </w:r>
            <w:proofErr w:type="gramEnd"/>
            <w:r>
              <w:rPr>
                <w:sz w:val="21"/>
                <w:szCs w:val="21"/>
              </w:rPr>
              <w:t xml:space="preserve"> the option States have.</w:t>
            </w:r>
          </w:p>
          <w:p w14:paraId="14AFBBA4" w14:textId="77777777" w:rsidR="00BF5EA8" w:rsidRPr="00990B04" w:rsidRDefault="00BF5EA8" w:rsidP="00990B04">
            <w:pPr>
              <w:cnfStyle w:val="000000000000" w:firstRow="0" w:lastRow="0" w:firstColumn="0" w:lastColumn="0" w:oddVBand="0" w:evenVBand="0" w:oddHBand="0" w:evenHBand="0" w:firstRowFirstColumn="0" w:firstRowLastColumn="0" w:lastRowFirstColumn="0" w:lastRowLastColumn="0"/>
              <w:rPr>
                <w:sz w:val="21"/>
                <w:szCs w:val="21"/>
              </w:rPr>
            </w:pPr>
          </w:p>
          <w:p w14:paraId="0CD87087" w14:textId="2BF019EA" w:rsidR="00C24E2D" w:rsidRDefault="003E4F6A" w:rsidP="001E21D9">
            <w:pPr>
              <w:pStyle w:val="ListParagraph"/>
              <w:numPr>
                <w:ilvl w:val="0"/>
                <w:numId w:val="13"/>
              </w:numPr>
              <w:ind w:left="16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IHS Outpatient encounter rate </w:t>
            </w:r>
            <w:r w:rsidR="001D5D40">
              <w:rPr>
                <w:sz w:val="21"/>
                <w:szCs w:val="21"/>
              </w:rPr>
              <w:t>c</w:t>
            </w:r>
            <w:r>
              <w:rPr>
                <w:sz w:val="21"/>
                <w:szCs w:val="21"/>
              </w:rPr>
              <w:t>ould be made available to all Indian outpatient programs that request it. A permanent fix is needed for grandfathered Tribal Providers/FQHCs.</w:t>
            </w:r>
          </w:p>
          <w:p w14:paraId="49D5EFEE" w14:textId="77777777" w:rsidR="00BF5EA8" w:rsidRPr="00990B04" w:rsidRDefault="00BF5EA8" w:rsidP="00990B04">
            <w:pPr>
              <w:cnfStyle w:val="000000000000" w:firstRow="0" w:lastRow="0" w:firstColumn="0" w:lastColumn="0" w:oddVBand="0" w:evenVBand="0" w:oddHBand="0" w:evenHBand="0" w:firstRowFirstColumn="0" w:firstRowLastColumn="0" w:lastRowFirstColumn="0" w:lastRowLastColumn="0"/>
              <w:rPr>
                <w:sz w:val="21"/>
                <w:szCs w:val="21"/>
              </w:rPr>
            </w:pPr>
          </w:p>
          <w:p w14:paraId="6661A8EF" w14:textId="02C8E825" w:rsidR="00C24E2D" w:rsidRPr="00BF5EA8" w:rsidRDefault="003E4F6A" w:rsidP="001E21D9">
            <w:pPr>
              <w:pStyle w:val="ListParagraph"/>
              <w:numPr>
                <w:ilvl w:val="0"/>
                <w:numId w:val="13"/>
              </w:numPr>
              <w:ind w:left="16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 xml:space="preserve">Provide Relief from Medicare Part B penalties for AI/AN elders. </w:t>
            </w:r>
            <w:r>
              <w:rPr>
                <w:rFonts w:ascii="Times New Roman" w:eastAsia="Calibri" w:hAnsi="Times New Roman"/>
              </w:rPr>
              <w:t xml:space="preserve"> </w:t>
            </w:r>
            <w:r>
              <w:rPr>
                <w:rFonts w:eastAsia="Calibri" w:cstheme="minorHAnsi"/>
                <w:sz w:val="21"/>
              </w:rPr>
              <w:t>Medicare</w:t>
            </w:r>
            <w:r>
              <w:rPr>
                <w:rFonts w:eastAsia="Calibri" w:cstheme="minorHAnsi"/>
                <w:b/>
                <w:bCs/>
                <w:i/>
                <w:iCs/>
                <w:sz w:val="21"/>
              </w:rPr>
              <w:t xml:space="preserve"> </w:t>
            </w:r>
            <w:r>
              <w:rPr>
                <w:rFonts w:eastAsia="Calibri" w:cstheme="minorHAnsi"/>
                <w:sz w:val="21"/>
              </w:rPr>
              <w:t>Part B imposes penalties for individuals who delay enrollment once they are eligible.</w:t>
            </w:r>
          </w:p>
          <w:p w14:paraId="5982F307" w14:textId="77777777" w:rsidR="00BF5EA8" w:rsidRPr="00990B04" w:rsidRDefault="00BF5EA8" w:rsidP="00990B04">
            <w:pPr>
              <w:cnfStyle w:val="000000000000" w:firstRow="0" w:lastRow="0" w:firstColumn="0" w:lastColumn="0" w:oddVBand="0" w:evenVBand="0" w:oddHBand="0" w:evenHBand="0" w:firstRowFirstColumn="0" w:firstRowLastColumn="0" w:lastRowFirstColumn="0" w:lastRowLastColumn="0"/>
              <w:rPr>
                <w:sz w:val="21"/>
                <w:szCs w:val="21"/>
              </w:rPr>
            </w:pPr>
          </w:p>
          <w:p w14:paraId="4B9AB403" w14:textId="0DD626D0" w:rsidR="00C24E2D" w:rsidRDefault="003E4F6A" w:rsidP="001E21D9">
            <w:pPr>
              <w:pStyle w:val="ListParagraph"/>
              <w:numPr>
                <w:ilvl w:val="0"/>
                <w:numId w:val="13"/>
              </w:numPr>
              <w:ind w:left="164"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lastRenderedPageBreak/>
              <w:t>Community education necessary to prevent predatory Medicare Advantage enrollment practices.</w:t>
            </w:r>
          </w:p>
          <w:p w14:paraId="0A88648A" w14:textId="77777777" w:rsidR="00BF5EA8" w:rsidRPr="00BF5EA8" w:rsidRDefault="00BF5EA8" w:rsidP="00BF5EA8">
            <w:pPr>
              <w:cnfStyle w:val="000000000000" w:firstRow="0" w:lastRow="0" w:firstColumn="0" w:lastColumn="0" w:oddVBand="0" w:evenVBand="0" w:oddHBand="0" w:evenHBand="0" w:firstRowFirstColumn="0" w:firstRowLastColumn="0" w:lastRowFirstColumn="0" w:lastRowLastColumn="0"/>
              <w:rPr>
                <w:sz w:val="21"/>
                <w:szCs w:val="21"/>
              </w:rPr>
            </w:pPr>
          </w:p>
          <w:p w14:paraId="08F8B31B" w14:textId="14EE6C97" w:rsidR="00C24E2D" w:rsidRDefault="003E4F6A" w:rsidP="001E21D9">
            <w:pPr>
              <w:pStyle w:val="ListParagraph"/>
              <w:numPr>
                <w:ilvl w:val="0"/>
                <w:numId w:val="13"/>
              </w:numPr>
              <w:ind w:left="344"/>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Ensure IHCPs that continue to use RPMS can obtain hardship exemptions.</w:t>
            </w:r>
          </w:p>
          <w:p w14:paraId="41F6D51A" w14:textId="77777777" w:rsidR="00BF5EA8" w:rsidRPr="00BF5EA8" w:rsidRDefault="00BF5EA8" w:rsidP="00BF5EA8">
            <w:pPr>
              <w:cnfStyle w:val="000000000000" w:firstRow="0" w:lastRow="0" w:firstColumn="0" w:lastColumn="0" w:oddVBand="0" w:evenVBand="0" w:oddHBand="0" w:evenHBand="0" w:firstRowFirstColumn="0" w:firstRowLastColumn="0" w:lastRowFirstColumn="0" w:lastRowLastColumn="0"/>
              <w:rPr>
                <w:sz w:val="21"/>
                <w:szCs w:val="21"/>
              </w:rPr>
            </w:pPr>
          </w:p>
          <w:p w14:paraId="47FBC862" w14:textId="77777777" w:rsidR="00C24E2D" w:rsidRDefault="003E4F6A" w:rsidP="001E21D9">
            <w:pPr>
              <w:pStyle w:val="ListParagraph"/>
              <w:numPr>
                <w:ilvl w:val="0"/>
                <w:numId w:val="13"/>
              </w:numPr>
              <w:ind w:left="344"/>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Exempt I/T/U DME Suppliers from Competitive Bidding Process</w:t>
            </w:r>
          </w:p>
        </w:tc>
        <w:tc>
          <w:tcPr>
            <w:tcW w:w="3600" w:type="dxa"/>
          </w:tcPr>
          <w:p w14:paraId="2037B113" w14:textId="62347EBA" w:rsidR="00BF5EA8" w:rsidRPr="00990B04"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eastAsia="Calibri" w:cstheme="minorHAnsi"/>
                <w:b/>
                <w:i/>
                <w:sz w:val="21"/>
                <w:szCs w:val="21"/>
              </w:rPr>
              <w:lastRenderedPageBreak/>
              <w:t>Tribal Request:</w:t>
            </w:r>
            <w:r>
              <w:rPr>
                <w:rFonts w:eastAsia="Calibri" w:cstheme="minorHAnsi"/>
                <w:sz w:val="21"/>
                <w:szCs w:val="21"/>
              </w:rPr>
              <w:t xml:space="preserve"> CMS should schedule a workgroup to work through TTAG suggested revisions to the claims processing manual.</w:t>
            </w:r>
          </w:p>
          <w:p w14:paraId="4AD26D2B" w14:textId="77777777" w:rsidR="00BF5EA8" w:rsidRDefault="00BF5EA8" w:rsidP="00BF5EA8">
            <w:pPr>
              <w:pStyle w:val="ListParagraph"/>
              <w:ind w:left="252"/>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616A76FE" w14:textId="3A22CCA5" w:rsidR="00BF5EA8" w:rsidRPr="00990B04"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eastAsia="Calibri" w:cstheme="minorHAnsi"/>
                <w:b/>
                <w:i/>
                <w:sz w:val="21"/>
                <w:szCs w:val="21"/>
              </w:rPr>
              <w:t>Tribal Request:</w:t>
            </w:r>
            <w:r>
              <w:rPr>
                <w:rFonts w:cstheme="minorHAnsi"/>
                <w:sz w:val="21"/>
                <w:szCs w:val="21"/>
              </w:rPr>
              <w:t xml:space="preserve"> </w:t>
            </w:r>
            <w:r>
              <w:rPr>
                <w:rFonts w:eastAsia="Calibri" w:cstheme="minorHAnsi"/>
                <w:sz w:val="21"/>
                <w:szCs w:val="21"/>
              </w:rPr>
              <w:t>CMS change its Hospital Acquired Condition (HAC) regulation, or issue guidance to account for the formula error that is inaccurately reporting many IHS and tribal hospitals as low performing.</w:t>
            </w:r>
          </w:p>
          <w:p w14:paraId="63D80696" w14:textId="77777777" w:rsidR="00BF5EA8" w:rsidRDefault="00BF5EA8" w:rsidP="00BF5EA8">
            <w:pPr>
              <w:pStyle w:val="ListParagraph"/>
              <w:ind w:left="252"/>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2784E8B5" w14:textId="3D1D8035" w:rsidR="00C24E2D" w:rsidRPr="00BF5EA8"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eastAsia="Calibri" w:cstheme="minorHAnsi"/>
                <w:b/>
                <w:i/>
                <w:sz w:val="21"/>
                <w:szCs w:val="21"/>
              </w:rPr>
              <w:lastRenderedPageBreak/>
              <w:t>Tribal Request</w:t>
            </w:r>
            <w:r>
              <w:rPr>
                <w:rFonts w:eastAsia="Calibri" w:cstheme="minorHAnsi"/>
                <w:sz w:val="21"/>
                <w:szCs w:val="21"/>
              </w:rPr>
              <w:t xml:space="preserve">: Medicare should allow telehealth to be provided through audio-only telephonic and two-way radio communication methods when necessary.  </w:t>
            </w:r>
          </w:p>
          <w:p w14:paraId="2FCC52F6" w14:textId="77777777" w:rsidR="00BF5EA8" w:rsidRDefault="00BF5EA8" w:rsidP="00BF5EA8">
            <w:pPr>
              <w:pStyle w:val="ListParagraph"/>
              <w:ind w:left="252"/>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2985D257" w14:textId="67439B25" w:rsidR="00BF5EA8" w:rsidRPr="00990B04"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b/>
                <w:i/>
                <w:sz w:val="21"/>
                <w:szCs w:val="21"/>
              </w:rPr>
            </w:pPr>
            <w:r>
              <w:rPr>
                <w:rFonts w:cstheme="minorHAnsi"/>
                <w:b/>
                <w:i/>
                <w:sz w:val="21"/>
                <w:szCs w:val="21"/>
              </w:rPr>
              <w:t xml:space="preserve">Tribal Request: </w:t>
            </w:r>
            <w:r>
              <w:rPr>
                <w:rFonts w:eastAsia="Calibri" w:cstheme="minorHAnsi"/>
                <w:sz w:val="21"/>
                <w:szCs w:val="21"/>
              </w:rPr>
              <w:t xml:space="preserve"> As a cost</w:t>
            </w:r>
            <w:r w:rsidR="00990B04">
              <w:rPr>
                <w:rFonts w:eastAsia="Calibri" w:cstheme="minorHAnsi"/>
                <w:sz w:val="21"/>
                <w:szCs w:val="21"/>
              </w:rPr>
              <w:t>-</w:t>
            </w:r>
            <w:r>
              <w:rPr>
                <w:rFonts w:eastAsia="Calibri" w:cstheme="minorHAnsi"/>
                <w:sz w:val="21"/>
                <w:szCs w:val="21"/>
              </w:rPr>
              <w:t xml:space="preserve">based rate, the IHS OMB rate at the very least should be considered "reasonable costs" for purposes of Section 206 of IHCIA.  </w:t>
            </w:r>
          </w:p>
          <w:p w14:paraId="4F0DB59F" w14:textId="77777777" w:rsidR="001D5D40" w:rsidRPr="00BF5EA8" w:rsidRDefault="001D5D40" w:rsidP="00BF5EA8">
            <w:pPr>
              <w:cnfStyle w:val="000000000000" w:firstRow="0" w:lastRow="0" w:firstColumn="0" w:lastColumn="0" w:oddVBand="0" w:evenVBand="0" w:oddHBand="0" w:evenHBand="0" w:firstRowFirstColumn="0" w:firstRowLastColumn="0" w:lastRowFirstColumn="0" w:lastRowLastColumn="0"/>
              <w:rPr>
                <w:rFonts w:cstheme="minorHAnsi"/>
                <w:b/>
                <w:i/>
                <w:sz w:val="21"/>
                <w:szCs w:val="21"/>
              </w:rPr>
            </w:pPr>
          </w:p>
          <w:p w14:paraId="20DD73F8" w14:textId="19643C1C" w:rsidR="00C24E2D"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b/>
                <w:i/>
                <w:sz w:val="21"/>
                <w:szCs w:val="21"/>
              </w:rPr>
              <w:t>Tribal Request:</w:t>
            </w:r>
            <w:r>
              <w:rPr>
                <w:rFonts w:cstheme="minorHAnsi"/>
                <w:sz w:val="21"/>
                <w:szCs w:val="21"/>
              </w:rPr>
              <w:t xml:space="preserve"> These practices must stop because facilities are being negatively affected and PBMs are inaccurately reporting low performance for medication adherence. </w:t>
            </w:r>
          </w:p>
          <w:p w14:paraId="3562BF36" w14:textId="77777777" w:rsidR="00BF5EA8" w:rsidRDefault="00BF5EA8" w:rsidP="00BF5EA8">
            <w:pPr>
              <w:pStyle w:val="ListParagraph"/>
              <w:ind w:left="252"/>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6AB6B9B2" w14:textId="7F37FD04" w:rsidR="00C24E2D" w:rsidRPr="00BF5EA8"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b/>
                <w:i/>
                <w:sz w:val="21"/>
                <w:szCs w:val="21"/>
              </w:rPr>
              <w:t>Tribal Request:</w:t>
            </w:r>
            <w:r>
              <w:rPr>
                <w:rFonts w:cstheme="minorHAnsi"/>
                <w:sz w:val="21"/>
                <w:szCs w:val="21"/>
              </w:rPr>
              <w:t xml:space="preserve"> </w:t>
            </w:r>
            <w:r>
              <w:rPr>
                <w:rFonts w:eastAsia="Calibri" w:cstheme="minorHAnsi"/>
                <w:sz w:val="21"/>
                <w:szCs w:val="21"/>
              </w:rPr>
              <w:t xml:space="preserve"> TTAG supports eliminating Part B premiums entirely for AI/AN beneficiaries.  However, if premiums are retained, Indian health programs should be given the same option as States, to pay them directly on behalf of their beneficiaries.</w:t>
            </w:r>
          </w:p>
          <w:p w14:paraId="21F287C1" w14:textId="77777777" w:rsidR="00BF5EA8" w:rsidRPr="00BF5EA8" w:rsidRDefault="00BF5EA8" w:rsidP="00BF5EA8">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7EFEE23D" w14:textId="2F625C19" w:rsidR="00C24E2D" w:rsidRPr="00BF5EA8"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sz w:val="21"/>
                <w:szCs w:val="21"/>
              </w:rPr>
            </w:pPr>
            <w:r>
              <w:rPr>
                <w:rFonts w:cstheme="minorHAnsi"/>
                <w:b/>
                <w:i/>
                <w:sz w:val="21"/>
                <w:szCs w:val="21"/>
              </w:rPr>
              <w:t xml:space="preserve">Tribal Request: </w:t>
            </w:r>
            <w:r>
              <w:rPr>
                <w:rFonts w:eastAsia="Calibri" w:cstheme="minorHAnsi"/>
                <w:sz w:val="21"/>
                <w:szCs w:val="21"/>
              </w:rPr>
              <w:t xml:space="preserve"> TTAG has been urging Medicare to authorize all Indian outpatient programs that request it to bill at the IHS outpatient encounter rate. CMS’s tribal </w:t>
            </w:r>
            <w:proofErr w:type="gramStart"/>
            <w:r>
              <w:rPr>
                <w:rFonts w:eastAsia="Calibri" w:cstheme="minorHAnsi"/>
                <w:sz w:val="21"/>
                <w:szCs w:val="21"/>
              </w:rPr>
              <w:t>provider based</w:t>
            </w:r>
            <w:proofErr w:type="gramEnd"/>
            <w:r>
              <w:rPr>
                <w:rFonts w:eastAsia="Calibri" w:cstheme="minorHAnsi"/>
                <w:sz w:val="21"/>
                <w:szCs w:val="21"/>
              </w:rPr>
              <w:t xml:space="preserve"> rules at 42 CFR § 413.65(m) and 42 C.F.R. § 405.2462 to allow all Indian outpatient programs to bill at the IHS Outpatient encounter rate.</w:t>
            </w:r>
          </w:p>
          <w:p w14:paraId="6B73F9D4" w14:textId="77777777" w:rsidR="00BF5EA8" w:rsidRPr="00BF5EA8" w:rsidRDefault="00BF5EA8" w:rsidP="00BF5EA8">
            <w:pPr>
              <w:cnfStyle w:val="000000000000" w:firstRow="0" w:lastRow="0" w:firstColumn="0" w:lastColumn="0" w:oddVBand="0" w:evenVBand="0" w:oddHBand="0" w:evenHBand="0" w:firstRowFirstColumn="0" w:firstRowLastColumn="0" w:lastRowFirstColumn="0" w:lastRowLastColumn="0"/>
              <w:rPr>
                <w:rFonts w:cstheme="minorHAnsi"/>
                <w:sz w:val="21"/>
                <w:szCs w:val="21"/>
              </w:rPr>
            </w:pPr>
          </w:p>
          <w:p w14:paraId="133A32AD" w14:textId="798C9408" w:rsidR="00C24E2D" w:rsidRPr="00BF5EA8"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b/>
                <w:i/>
                <w:sz w:val="21"/>
                <w:szCs w:val="21"/>
              </w:rPr>
            </w:pPr>
            <w:r>
              <w:rPr>
                <w:rFonts w:cstheme="minorHAnsi"/>
                <w:b/>
                <w:i/>
                <w:sz w:val="21"/>
                <w:szCs w:val="21"/>
              </w:rPr>
              <w:lastRenderedPageBreak/>
              <w:t xml:space="preserve">Tribal Request: </w:t>
            </w:r>
            <w:r>
              <w:rPr>
                <w:rFonts w:eastAsia="Calibri" w:cstheme="minorHAnsi"/>
                <w:sz w:val="21"/>
              </w:rPr>
              <w:t>TTAG believes that AI/AN individuals should be exempt from all Medicare Part B premiums, if Part B premiums are retained, at a minimum IHS coverage should be deemed creditable coverage so that AI/AN Part B enrollees are not subject to late-enrollment penalties</w:t>
            </w:r>
          </w:p>
          <w:p w14:paraId="2117F636" w14:textId="77777777" w:rsidR="00BF5EA8" w:rsidRPr="00BF5EA8" w:rsidRDefault="00BF5EA8" w:rsidP="00BF5EA8">
            <w:pPr>
              <w:cnfStyle w:val="000000000000" w:firstRow="0" w:lastRow="0" w:firstColumn="0" w:lastColumn="0" w:oddVBand="0" w:evenVBand="0" w:oddHBand="0" w:evenHBand="0" w:firstRowFirstColumn="0" w:firstRowLastColumn="0" w:lastRowFirstColumn="0" w:lastRowLastColumn="0"/>
              <w:rPr>
                <w:rFonts w:cstheme="minorHAnsi"/>
                <w:b/>
                <w:i/>
                <w:sz w:val="21"/>
                <w:szCs w:val="21"/>
              </w:rPr>
            </w:pPr>
          </w:p>
          <w:p w14:paraId="3AB6DBB5" w14:textId="77777777" w:rsidR="00C24E2D"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b/>
                <w:i/>
                <w:sz w:val="21"/>
                <w:szCs w:val="21"/>
              </w:rPr>
            </w:pPr>
            <w:r>
              <w:rPr>
                <w:rFonts w:cstheme="minorHAnsi"/>
                <w:b/>
                <w:i/>
                <w:sz w:val="21"/>
                <w:szCs w:val="21"/>
              </w:rPr>
              <w:t xml:space="preserve">Tribal Request: </w:t>
            </w:r>
            <w:r>
              <w:t xml:space="preserve"> </w:t>
            </w:r>
            <w:r>
              <w:rPr>
                <w:sz w:val="21"/>
              </w:rPr>
              <w:t>Funding is needed for enrollment assistance to provide education for AI/ANs to help them understand how their services at I/T facilities would be impacted if they enroll into a Medicare Advantage plan.</w:t>
            </w:r>
          </w:p>
          <w:p w14:paraId="141785D3" w14:textId="248138FC" w:rsidR="00C24E2D" w:rsidRDefault="00C24E2D" w:rsidP="00BF5EA8">
            <w:pPr>
              <w:pStyle w:val="ListParagraph"/>
              <w:ind w:left="252"/>
              <w:cnfStyle w:val="000000000000" w:firstRow="0" w:lastRow="0" w:firstColumn="0" w:lastColumn="0" w:oddVBand="0" w:evenVBand="0" w:oddHBand="0" w:evenHBand="0" w:firstRowFirstColumn="0" w:firstRowLastColumn="0" w:lastRowFirstColumn="0" w:lastRowLastColumn="0"/>
              <w:rPr>
                <w:rFonts w:cstheme="minorHAnsi"/>
                <w:b/>
                <w:i/>
                <w:sz w:val="21"/>
                <w:szCs w:val="21"/>
              </w:rPr>
            </w:pPr>
          </w:p>
          <w:p w14:paraId="6575A5AC" w14:textId="2D85BB74" w:rsidR="00C24E2D" w:rsidRPr="00BF5EA8"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b/>
                <w:i/>
                <w:sz w:val="21"/>
                <w:szCs w:val="21"/>
              </w:rPr>
            </w:pPr>
            <w:r>
              <w:rPr>
                <w:rFonts w:cstheme="minorHAnsi"/>
                <w:b/>
                <w:i/>
                <w:sz w:val="21"/>
                <w:szCs w:val="21"/>
              </w:rPr>
              <w:t xml:space="preserve">Tribal Request: </w:t>
            </w:r>
            <w:r>
              <w:rPr>
                <w:rFonts w:ascii="Times New Roman" w:hAnsi="Times New Roman"/>
                <w:color w:val="0F0F0F"/>
                <w:szCs w:val="21"/>
                <w:shd w:val="clear" w:color="auto" w:fill="FFFFFF"/>
              </w:rPr>
              <w:t xml:space="preserve"> </w:t>
            </w:r>
            <w:r>
              <w:rPr>
                <w:rFonts w:cstheme="minorHAnsi"/>
                <w:color w:val="0F0F0F"/>
                <w:sz w:val="21"/>
                <w:szCs w:val="21"/>
                <w:shd w:val="clear" w:color="auto" w:fill="FFFFFF"/>
              </w:rPr>
              <w:t>Assistance from CMS in ensuring that IHCPs are not subject to penalties while the IHS considers whether to update RPMS or not while moving to a different system.</w:t>
            </w:r>
            <w:r>
              <w:rPr>
                <w:rFonts w:ascii="Times New Roman" w:hAnsi="Times New Roman"/>
                <w:color w:val="0F0F0F"/>
                <w:sz w:val="21"/>
                <w:szCs w:val="21"/>
                <w:shd w:val="clear" w:color="auto" w:fill="FFFFFF"/>
              </w:rPr>
              <w:t xml:space="preserve">  </w:t>
            </w:r>
          </w:p>
          <w:p w14:paraId="7E752941" w14:textId="77777777" w:rsidR="00BF5EA8" w:rsidRPr="00BF5EA8" w:rsidRDefault="00BF5EA8" w:rsidP="00BF5EA8">
            <w:pPr>
              <w:cnfStyle w:val="000000000000" w:firstRow="0" w:lastRow="0" w:firstColumn="0" w:lastColumn="0" w:oddVBand="0" w:evenVBand="0" w:oddHBand="0" w:evenHBand="0" w:firstRowFirstColumn="0" w:firstRowLastColumn="0" w:lastRowFirstColumn="0" w:lastRowLastColumn="0"/>
              <w:rPr>
                <w:rFonts w:cstheme="minorHAnsi"/>
                <w:b/>
                <w:i/>
                <w:sz w:val="21"/>
                <w:szCs w:val="21"/>
              </w:rPr>
            </w:pPr>
          </w:p>
          <w:p w14:paraId="6D61B643" w14:textId="2556FA40" w:rsidR="00C24E2D" w:rsidRDefault="003E4F6A" w:rsidP="001E21D9">
            <w:pPr>
              <w:pStyle w:val="ListParagraph"/>
              <w:numPr>
                <w:ilvl w:val="0"/>
                <w:numId w:val="14"/>
              </w:numPr>
              <w:ind w:left="252" w:hanging="270"/>
              <w:cnfStyle w:val="000000000000" w:firstRow="0" w:lastRow="0" w:firstColumn="0" w:lastColumn="0" w:oddVBand="0" w:evenVBand="0" w:oddHBand="0" w:evenHBand="0" w:firstRowFirstColumn="0" w:firstRowLastColumn="0" w:lastRowFirstColumn="0" w:lastRowLastColumn="0"/>
              <w:rPr>
                <w:rFonts w:cstheme="minorHAnsi"/>
                <w:b/>
                <w:i/>
                <w:sz w:val="21"/>
                <w:szCs w:val="21"/>
              </w:rPr>
            </w:pPr>
            <w:r>
              <w:rPr>
                <w:rFonts w:cstheme="minorHAnsi"/>
                <w:b/>
                <w:i/>
                <w:sz w:val="21"/>
                <w:szCs w:val="21"/>
              </w:rPr>
              <w:t xml:space="preserve">Tribal Request: </w:t>
            </w:r>
            <w:r>
              <w:rPr>
                <w:rFonts w:cstheme="minorHAnsi"/>
                <w:sz w:val="21"/>
                <w:szCs w:val="21"/>
              </w:rPr>
              <w:t>E</w:t>
            </w:r>
            <w:r>
              <w:rPr>
                <w:rFonts w:cstheme="minorHAnsi"/>
                <w:color w:val="0F0F0F"/>
                <w:sz w:val="21"/>
                <w:szCs w:val="21"/>
                <w:shd w:val="clear" w:color="auto" w:fill="FFFFFF"/>
              </w:rPr>
              <w:t xml:space="preserve">xemption from the competitive bidding process </w:t>
            </w:r>
            <w:proofErr w:type="gramStart"/>
            <w:r>
              <w:rPr>
                <w:rFonts w:cstheme="minorHAnsi"/>
                <w:color w:val="0F0F0F"/>
                <w:sz w:val="21"/>
                <w:szCs w:val="21"/>
                <w:shd w:val="clear" w:color="auto" w:fill="FFFFFF"/>
              </w:rPr>
              <w:t>so as to</w:t>
            </w:r>
            <w:proofErr w:type="gramEnd"/>
            <w:r>
              <w:rPr>
                <w:rFonts w:cstheme="minorHAnsi"/>
                <w:color w:val="0F0F0F"/>
                <w:sz w:val="21"/>
                <w:szCs w:val="21"/>
                <w:shd w:val="clear" w:color="auto" w:fill="FFFFFF"/>
              </w:rPr>
              <w:t xml:space="preserve"> allow Indian health care providers to access and bill for DME</w:t>
            </w:r>
            <w:r w:rsidR="00990B04">
              <w:rPr>
                <w:rFonts w:cstheme="minorHAnsi"/>
                <w:color w:val="0F0F0F"/>
                <w:sz w:val="21"/>
                <w:szCs w:val="21"/>
                <w:shd w:val="clear" w:color="auto" w:fill="FFFFFF"/>
              </w:rPr>
              <w:t>.</w:t>
            </w:r>
          </w:p>
        </w:tc>
        <w:tc>
          <w:tcPr>
            <w:tcW w:w="3865" w:type="dxa"/>
          </w:tcPr>
          <w:p w14:paraId="589A0F11" w14:textId="77777777" w:rsidR="00C24E2D" w:rsidRDefault="003E4F6A">
            <w:pPr>
              <w:ind w:right="-196"/>
              <w:cnfStyle w:val="000000000000" w:firstRow="0" w:lastRow="0" w:firstColumn="0" w:lastColumn="0" w:oddVBand="0" w:evenVBand="0" w:oddHBand="0" w:evenHBand="0" w:firstRowFirstColumn="0" w:firstRowLastColumn="0" w:lastRowFirstColumn="0" w:lastRowLastColumn="0"/>
              <w:rPr>
                <w:b/>
                <w:sz w:val="21"/>
                <w:szCs w:val="21"/>
              </w:rPr>
            </w:pPr>
            <w:r w:rsidRPr="00BF5EA8">
              <w:rPr>
                <w:b/>
                <w:color w:val="000000" w:themeColor="text1"/>
                <w:sz w:val="21"/>
                <w:szCs w:val="21"/>
              </w:rPr>
              <w:lastRenderedPageBreak/>
              <w:t xml:space="preserve">1. </w:t>
            </w:r>
            <w:r w:rsidRPr="00BF5EA8">
              <w:rPr>
                <w:sz w:val="21"/>
                <w:szCs w:val="21"/>
              </w:rPr>
              <w:t>CMS has had a call with the workgroup to go through these issues.</w:t>
            </w:r>
          </w:p>
          <w:p w14:paraId="2940DA37" w14:textId="04210DC8" w:rsidR="00C24E2D" w:rsidRDefault="00C24E2D">
            <w:pPr>
              <w:ind w:right="-196"/>
              <w:cnfStyle w:val="000000000000" w:firstRow="0" w:lastRow="0" w:firstColumn="0" w:lastColumn="0" w:oddVBand="0" w:evenVBand="0" w:oddHBand="0" w:evenHBand="0" w:firstRowFirstColumn="0" w:firstRowLastColumn="0" w:lastRowFirstColumn="0" w:lastRowLastColumn="0"/>
              <w:rPr>
                <w:b/>
                <w:sz w:val="21"/>
                <w:szCs w:val="21"/>
              </w:rPr>
            </w:pPr>
          </w:p>
          <w:p w14:paraId="3D03C53F" w14:textId="77777777" w:rsidR="001D5D40" w:rsidRDefault="001D5D40">
            <w:pPr>
              <w:ind w:right="-196"/>
              <w:cnfStyle w:val="000000000000" w:firstRow="0" w:lastRow="0" w:firstColumn="0" w:lastColumn="0" w:oddVBand="0" w:evenVBand="0" w:oddHBand="0" w:evenHBand="0" w:firstRowFirstColumn="0" w:firstRowLastColumn="0" w:lastRowFirstColumn="0" w:lastRowLastColumn="0"/>
              <w:rPr>
                <w:b/>
                <w:sz w:val="21"/>
                <w:szCs w:val="21"/>
              </w:rPr>
            </w:pPr>
          </w:p>
          <w:p w14:paraId="38003E0E" w14:textId="77777777" w:rsidR="00C24E2D" w:rsidRDefault="003E4F6A">
            <w:pPr>
              <w:ind w:right="-196"/>
              <w:cnfStyle w:val="000000000000" w:firstRow="0" w:lastRow="0" w:firstColumn="0" w:lastColumn="0" w:oddVBand="0" w:evenVBand="0" w:oddHBand="0" w:evenHBand="0" w:firstRowFirstColumn="0" w:firstRowLastColumn="0" w:lastRowFirstColumn="0" w:lastRowLastColumn="0"/>
              <w:rPr>
                <w:sz w:val="21"/>
              </w:rPr>
            </w:pPr>
            <w:r>
              <w:rPr>
                <w:b/>
                <w:sz w:val="21"/>
                <w:szCs w:val="21"/>
              </w:rPr>
              <w:t>2</w:t>
            </w:r>
            <w:r>
              <w:rPr>
                <w:sz w:val="21"/>
                <w:szCs w:val="21"/>
              </w:rPr>
              <w:t xml:space="preserve">. </w:t>
            </w:r>
            <w:r>
              <w:rPr>
                <w:color w:val="000000" w:themeColor="text1"/>
                <w:sz w:val="22"/>
                <w:szCs w:val="22"/>
              </w:rPr>
              <w:t>TTAG 11/18/20:</w:t>
            </w:r>
          </w:p>
          <w:p w14:paraId="7C598343" w14:textId="0DE32DBF" w:rsidR="00C24E2D" w:rsidRDefault="003E4F6A">
            <w:pPr>
              <w:pStyle w:val="ListParagraph"/>
              <w:ind w:left="74"/>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Pr>
                <w:color w:val="000000" w:themeColor="text1"/>
                <w:sz w:val="22"/>
                <w:szCs w:val="22"/>
              </w:rPr>
              <w:t>The new HAC Care Compare site launched on 12/1/2020 and doesn’t reflect the same negative perception, which should help with the PR issues. CMS will be holding a webinar in the future for Tribal hospitals and how to calculate the HAC score.</w:t>
            </w:r>
          </w:p>
          <w:p w14:paraId="511105C2" w14:textId="1516CD94" w:rsidR="001D5D40" w:rsidRDefault="001D5D40" w:rsidP="001D5D40">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33304B90" w14:textId="77777777" w:rsidR="001D5D40" w:rsidRPr="001D5D40" w:rsidRDefault="001D5D40" w:rsidP="001D5D40">
            <w:pPr>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110D9BED" w14:textId="32814B74" w:rsidR="00C24E2D" w:rsidRDefault="003E4F6A" w:rsidP="001E21D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sidRPr="00990B04">
              <w:rPr>
                <w:color w:val="000000" w:themeColor="text1"/>
                <w:sz w:val="21"/>
                <w:szCs w:val="21"/>
              </w:rPr>
              <w:t>1/14/2021 CMS submitted letter to TTAG in response to request to amend regulations to make all Indian outpatient facilities eligible for reimbursement at the IHS Medicare outpatient encounter rate without cost reporting requirement.</w:t>
            </w:r>
          </w:p>
          <w:p w14:paraId="25385CA3" w14:textId="77777777" w:rsidR="00990B04" w:rsidRPr="00990B04" w:rsidRDefault="00990B04" w:rsidP="00990B04">
            <w:pPr>
              <w:pStyle w:val="ListParagraph"/>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p w14:paraId="52238CDE" w14:textId="1981D862" w:rsidR="00C24E2D" w:rsidRPr="001D5D40" w:rsidRDefault="00C95034" w:rsidP="001E21D9">
            <w:pPr>
              <w:pStyle w:val="ListParagraph"/>
              <w:numPr>
                <w:ilvl w:val="0"/>
                <w:numId w:val="27"/>
              </w:numPr>
              <w:ind w:left="612" w:hanging="180"/>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Pr>
                <w:color w:val="000000" w:themeColor="text1"/>
                <w:sz w:val="21"/>
                <w:szCs w:val="21"/>
              </w:rPr>
              <w:t xml:space="preserve">According to CMS, </w:t>
            </w:r>
            <w:r w:rsidR="003E4F6A" w:rsidRPr="001D5D40">
              <w:rPr>
                <w:color w:val="000000" w:themeColor="text1"/>
                <w:sz w:val="21"/>
                <w:szCs w:val="21"/>
              </w:rPr>
              <w:t xml:space="preserve">Providers participating in the Medicare program are required to submit annual information to achieve settlement of costs for healthcare services to Medicare beneficiaries. </w:t>
            </w:r>
          </w:p>
          <w:p w14:paraId="74D7E53A" w14:textId="77777777" w:rsidR="00990B04" w:rsidRPr="00990B04" w:rsidRDefault="00990B04" w:rsidP="00990B04">
            <w:pPr>
              <w:pStyle w:val="ListParagraph"/>
              <w:ind w:left="612"/>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p>
          <w:p w14:paraId="38DFFC36" w14:textId="7E46953B" w:rsidR="00C24E2D" w:rsidRDefault="003E4F6A" w:rsidP="001E21D9">
            <w:pPr>
              <w:pStyle w:val="ListParagraph"/>
              <w:numPr>
                <w:ilvl w:val="0"/>
                <w:numId w:val="27"/>
              </w:numPr>
              <w:ind w:left="612" w:hanging="180"/>
              <w:cnfStyle w:val="000000000000" w:firstRow="0" w:lastRow="0" w:firstColumn="0" w:lastColumn="0" w:oddVBand="0" w:evenVBand="0" w:oddHBand="0" w:evenHBand="0" w:firstRowFirstColumn="0" w:firstRowLastColumn="0" w:lastRowFirstColumn="0" w:lastRowLastColumn="0"/>
              <w:rPr>
                <w:color w:val="000000" w:themeColor="text1"/>
                <w:sz w:val="22"/>
                <w:szCs w:val="22"/>
              </w:rPr>
            </w:pPr>
            <w:r w:rsidRPr="001D5D40">
              <w:rPr>
                <w:color w:val="000000" w:themeColor="text1"/>
                <w:sz w:val="21"/>
                <w:szCs w:val="21"/>
              </w:rPr>
              <w:t>To pay grandfathered FQHCs the Medicare outpatient rate, CMS would need to undergo notice and comment rulemaking.</w:t>
            </w:r>
          </w:p>
        </w:tc>
      </w:tr>
      <w:tr w:rsidR="00C24E2D" w14:paraId="389B6722" w14:textId="77777777" w:rsidTr="00990B04">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2250" w:type="dxa"/>
          </w:tcPr>
          <w:p w14:paraId="16350582" w14:textId="77777777" w:rsidR="00C24E2D" w:rsidRDefault="003E4F6A">
            <w:pPr>
              <w:rPr>
                <w:b w:val="0"/>
                <w:bCs w:val="0"/>
                <w:sz w:val="22"/>
                <w:szCs w:val="22"/>
              </w:rPr>
            </w:pPr>
            <w:r>
              <w:rPr>
                <w:sz w:val="22"/>
                <w:szCs w:val="22"/>
              </w:rPr>
              <w:lastRenderedPageBreak/>
              <w:t>Medicaid Priority Issues</w:t>
            </w:r>
          </w:p>
          <w:p w14:paraId="0B20FCB5" w14:textId="77777777" w:rsidR="00C24E2D" w:rsidRDefault="003E4F6A">
            <w:pPr>
              <w:rPr>
                <w:b w:val="0"/>
                <w:i/>
                <w:sz w:val="22"/>
                <w:szCs w:val="22"/>
              </w:rPr>
            </w:pPr>
            <w:r>
              <w:rPr>
                <w:b w:val="0"/>
                <w:i/>
                <w:sz w:val="22"/>
                <w:szCs w:val="22"/>
              </w:rPr>
              <w:t>CMS, IHS</w:t>
            </w:r>
          </w:p>
        </w:tc>
        <w:tc>
          <w:tcPr>
            <w:tcW w:w="3420" w:type="dxa"/>
            <w:gridSpan w:val="2"/>
          </w:tcPr>
          <w:p w14:paraId="0B8B733D" w14:textId="290EE1E6" w:rsidR="00C24E2D" w:rsidRDefault="003E4F6A" w:rsidP="001E21D9">
            <w:pPr>
              <w:pStyle w:val="ListParagraph"/>
              <w:numPr>
                <w:ilvl w:val="0"/>
                <w:numId w:val="15"/>
              </w:numPr>
              <w:ind w:left="25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Extension of grace period for four walls limitation. </w:t>
            </w:r>
          </w:p>
          <w:p w14:paraId="7B1D597A" w14:textId="77777777" w:rsidR="001D5D40" w:rsidRPr="00990B04" w:rsidRDefault="001D5D40" w:rsidP="00990B04">
            <w:pPr>
              <w:cnfStyle w:val="000000100000" w:firstRow="0" w:lastRow="0" w:firstColumn="0" w:lastColumn="0" w:oddVBand="0" w:evenVBand="0" w:oddHBand="1" w:evenHBand="0" w:firstRowFirstColumn="0" w:firstRowLastColumn="0" w:lastRowFirstColumn="0" w:lastRowLastColumn="0"/>
              <w:rPr>
                <w:sz w:val="21"/>
                <w:szCs w:val="21"/>
              </w:rPr>
            </w:pPr>
          </w:p>
          <w:p w14:paraId="0EF717E1" w14:textId="33009145" w:rsidR="001D5D40" w:rsidRPr="00990B04" w:rsidRDefault="003E4F6A" w:rsidP="001E21D9">
            <w:pPr>
              <w:pStyle w:val="ListParagraph"/>
              <w:numPr>
                <w:ilvl w:val="0"/>
                <w:numId w:val="15"/>
              </w:numPr>
              <w:ind w:left="25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CMS should encourage States to increase Medicaid Telehealth reimbursement for IHCPs.</w:t>
            </w:r>
          </w:p>
          <w:p w14:paraId="35D56660" w14:textId="77777777" w:rsidR="001D5D40" w:rsidRPr="001D5D40" w:rsidRDefault="001D5D40" w:rsidP="001D5D40">
            <w:pPr>
              <w:cnfStyle w:val="000000100000" w:firstRow="0" w:lastRow="0" w:firstColumn="0" w:lastColumn="0" w:oddVBand="0" w:evenVBand="0" w:oddHBand="1" w:evenHBand="0" w:firstRowFirstColumn="0" w:firstRowLastColumn="0" w:lastRowFirstColumn="0" w:lastRowLastColumn="0"/>
              <w:rPr>
                <w:sz w:val="21"/>
                <w:szCs w:val="21"/>
              </w:rPr>
            </w:pPr>
          </w:p>
          <w:p w14:paraId="03065202" w14:textId="5FA8FE7E" w:rsidR="00C24E2D" w:rsidRDefault="003E4F6A" w:rsidP="001E21D9">
            <w:pPr>
              <w:pStyle w:val="ListParagraph"/>
              <w:numPr>
                <w:ilvl w:val="0"/>
                <w:numId w:val="15"/>
              </w:numPr>
              <w:ind w:left="25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Issue Medicaid SHO Letter to Managed Care Organizations.</w:t>
            </w:r>
          </w:p>
          <w:p w14:paraId="20CE12A6" w14:textId="1CAE1EFB" w:rsidR="001D5D40" w:rsidRDefault="001D5D40" w:rsidP="001D5D40">
            <w:pPr>
              <w:cnfStyle w:val="000000100000" w:firstRow="0" w:lastRow="0" w:firstColumn="0" w:lastColumn="0" w:oddVBand="0" w:evenVBand="0" w:oddHBand="1" w:evenHBand="0" w:firstRowFirstColumn="0" w:firstRowLastColumn="0" w:lastRowFirstColumn="0" w:lastRowLastColumn="0"/>
              <w:rPr>
                <w:sz w:val="21"/>
                <w:szCs w:val="21"/>
              </w:rPr>
            </w:pPr>
          </w:p>
          <w:p w14:paraId="5EE75142" w14:textId="77777777" w:rsidR="001D5D40" w:rsidRPr="001D5D40" w:rsidRDefault="001D5D40" w:rsidP="001D5D40">
            <w:pPr>
              <w:cnfStyle w:val="000000100000" w:firstRow="0" w:lastRow="0" w:firstColumn="0" w:lastColumn="0" w:oddVBand="0" w:evenVBand="0" w:oddHBand="1" w:evenHBand="0" w:firstRowFirstColumn="0" w:firstRowLastColumn="0" w:lastRowFirstColumn="0" w:lastRowLastColumn="0"/>
              <w:rPr>
                <w:sz w:val="21"/>
                <w:szCs w:val="21"/>
              </w:rPr>
            </w:pPr>
          </w:p>
          <w:p w14:paraId="2484D5E5" w14:textId="77777777" w:rsidR="00C24E2D" w:rsidRDefault="003E4F6A" w:rsidP="001E21D9">
            <w:pPr>
              <w:pStyle w:val="ListParagraph"/>
              <w:numPr>
                <w:ilvl w:val="0"/>
                <w:numId w:val="15"/>
              </w:numPr>
              <w:ind w:left="25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lastRenderedPageBreak/>
              <w:t>Shield IHCPs from State benefit cuts to Medicaid or enrollment limitations.</w:t>
            </w:r>
          </w:p>
        </w:tc>
        <w:tc>
          <w:tcPr>
            <w:tcW w:w="3600" w:type="dxa"/>
          </w:tcPr>
          <w:p w14:paraId="170E6A65" w14:textId="6392D022" w:rsidR="00C24E2D" w:rsidRPr="001D5D40" w:rsidRDefault="003E4F6A" w:rsidP="001E21D9">
            <w:pPr>
              <w:pStyle w:val="ListParagraph"/>
              <w:numPr>
                <w:ilvl w:val="0"/>
                <w:numId w:val="16"/>
              </w:numPr>
              <w:ind w:left="252" w:hanging="270"/>
              <w:cnfStyle w:val="000000100000" w:firstRow="0" w:lastRow="0" w:firstColumn="0" w:lastColumn="0" w:oddVBand="0" w:evenVBand="0" w:oddHBand="1" w:evenHBand="0" w:firstRowFirstColumn="0" w:firstRowLastColumn="0" w:lastRowFirstColumn="0" w:lastRowLastColumn="0"/>
              <w:rPr>
                <w:b/>
                <w:i/>
                <w:sz w:val="21"/>
                <w:szCs w:val="21"/>
              </w:rPr>
            </w:pPr>
            <w:r>
              <w:rPr>
                <w:b/>
                <w:i/>
                <w:sz w:val="21"/>
                <w:szCs w:val="21"/>
              </w:rPr>
              <w:lastRenderedPageBreak/>
              <w:t xml:space="preserve">Tribal Request: </w:t>
            </w:r>
            <w:r>
              <w:rPr>
                <w:sz w:val="21"/>
                <w:szCs w:val="21"/>
              </w:rPr>
              <w:t xml:space="preserve">Tribal request for an extension to January 2022 has been granted. </w:t>
            </w:r>
            <w:r>
              <w:rPr>
                <w:rFonts w:cstheme="minorHAnsi"/>
                <w:color w:val="0F0F0F"/>
                <w:sz w:val="21"/>
                <w:szCs w:val="21"/>
                <w:shd w:val="clear" w:color="auto" w:fill="F2F2F2" w:themeFill="background1" w:themeFillShade="F2"/>
              </w:rPr>
              <w:t>During the grace period, we also urge CMS to reconsider the four-walls limitation.</w:t>
            </w:r>
          </w:p>
          <w:p w14:paraId="1247A64F" w14:textId="77777777" w:rsidR="001D5D40" w:rsidRDefault="001D5D40" w:rsidP="001D5D40">
            <w:pPr>
              <w:pStyle w:val="ListParagraph"/>
              <w:ind w:left="252"/>
              <w:cnfStyle w:val="000000100000" w:firstRow="0" w:lastRow="0" w:firstColumn="0" w:lastColumn="0" w:oddVBand="0" w:evenVBand="0" w:oddHBand="1" w:evenHBand="0" w:firstRowFirstColumn="0" w:firstRowLastColumn="0" w:lastRowFirstColumn="0" w:lastRowLastColumn="0"/>
              <w:rPr>
                <w:b/>
                <w:i/>
                <w:sz w:val="21"/>
                <w:szCs w:val="21"/>
              </w:rPr>
            </w:pPr>
          </w:p>
          <w:p w14:paraId="1F1451A7" w14:textId="2FFE8F5D" w:rsidR="00C24E2D" w:rsidRPr="001D5D40" w:rsidRDefault="003E4F6A" w:rsidP="001E21D9">
            <w:pPr>
              <w:pStyle w:val="ListParagraph"/>
              <w:numPr>
                <w:ilvl w:val="0"/>
                <w:numId w:val="16"/>
              </w:numPr>
              <w:ind w:left="252" w:hanging="270"/>
              <w:cnfStyle w:val="000000100000" w:firstRow="0" w:lastRow="0" w:firstColumn="0" w:lastColumn="0" w:oddVBand="0" w:evenVBand="0" w:oddHBand="1" w:evenHBand="0" w:firstRowFirstColumn="0" w:firstRowLastColumn="0" w:lastRowFirstColumn="0" w:lastRowLastColumn="0"/>
              <w:rPr>
                <w:b/>
                <w:i/>
                <w:sz w:val="21"/>
                <w:szCs w:val="21"/>
              </w:rPr>
            </w:pPr>
            <w:r>
              <w:rPr>
                <w:b/>
                <w:i/>
                <w:sz w:val="21"/>
                <w:szCs w:val="21"/>
              </w:rPr>
              <w:t>Tribal Request</w:t>
            </w:r>
            <w:r>
              <w:rPr>
                <w:rFonts w:cstheme="minorHAnsi"/>
                <w:b/>
                <w:i/>
                <w:sz w:val="21"/>
                <w:szCs w:val="21"/>
                <w:shd w:val="clear" w:color="auto" w:fill="F2F2F2" w:themeFill="background1" w:themeFillShade="F2"/>
              </w:rPr>
              <w:t xml:space="preserve">: </w:t>
            </w:r>
            <w:r>
              <w:rPr>
                <w:rFonts w:cstheme="minorHAnsi"/>
                <w:color w:val="0F0F0F"/>
                <w:sz w:val="21"/>
                <w:szCs w:val="21"/>
                <w:shd w:val="clear" w:color="auto" w:fill="F2F2F2" w:themeFill="background1" w:themeFillShade="F2"/>
              </w:rPr>
              <w:t xml:space="preserve"> CMS should issue guidance to States confirming that they can authorize Medicaid reimbursement for telehealth services at the IHS OMB rates.</w:t>
            </w:r>
          </w:p>
          <w:p w14:paraId="53CEA7F1" w14:textId="77777777" w:rsidR="001D5D40" w:rsidRPr="001D5D40" w:rsidRDefault="001D5D40" w:rsidP="001D5D40">
            <w:pPr>
              <w:cnfStyle w:val="000000100000" w:firstRow="0" w:lastRow="0" w:firstColumn="0" w:lastColumn="0" w:oddVBand="0" w:evenVBand="0" w:oddHBand="1" w:evenHBand="0" w:firstRowFirstColumn="0" w:firstRowLastColumn="0" w:lastRowFirstColumn="0" w:lastRowLastColumn="0"/>
              <w:rPr>
                <w:b/>
                <w:i/>
                <w:sz w:val="21"/>
                <w:szCs w:val="21"/>
              </w:rPr>
            </w:pPr>
          </w:p>
          <w:p w14:paraId="698D268B" w14:textId="29334160" w:rsidR="00C24E2D" w:rsidRPr="001D5D40" w:rsidRDefault="003E4F6A" w:rsidP="001E21D9">
            <w:pPr>
              <w:pStyle w:val="ListParagraph"/>
              <w:numPr>
                <w:ilvl w:val="0"/>
                <w:numId w:val="16"/>
              </w:numPr>
              <w:shd w:val="clear" w:color="auto" w:fill="F2F2F2" w:themeFill="background1" w:themeFillShade="F2"/>
              <w:ind w:left="252" w:hanging="270"/>
              <w:cnfStyle w:val="000000100000" w:firstRow="0" w:lastRow="0" w:firstColumn="0" w:lastColumn="0" w:oddVBand="0" w:evenVBand="0" w:oddHBand="1" w:evenHBand="0" w:firstRowFirstColumn="0" w:firstRowLastColumn="0" w:lastRowFirstColumn="0" w:lastRowLastColumn="0"/>
              <w:rPr>
                <w:rFonts w:cstheme="minorHAnsi"/>
                <w:b/>
                <w:i/>
                <w:sz w:val="21"/>
                <w:szCs w:val="21"/>
              </w:rPr>
            </w:pPr>
            <w:r>
              <w:rPr>
                <w:b/>
                <w:i/>
                <w:sz w:val="21"/>
                <w:szCs w:val="21"/>
              </w:rPr>
              <w:lastRenderedPageBreak/>
              <w:t>Tribal Request</w:t>
            </w:r>
            <w:r>
              <w:rPr>
                <w:rFonts w:cstheme="minorHAnsi"/>
                <w:b/>
                <w:i/>
                <w:sz w:val="21"/>
                <w:szCs w:val="21"/>
                <w:shd w:val="clear" w:color="auto" w:fill="F2F2F2" w:themeFill="background1" w:themeFillShade="F2"/>
              </w:rPr>
              <w:t xml:space="preserve">: </w:t>
            </w:r>
            <w:r>
              <w:rPr>
                <w:rFonts w:cstheme="minorHAnsi"/>
                <w:color w:val="0F0F0F"/>
                <w:sz w:val="21"/>
                <w:szCs w:val="21"/>
                <w:shd w:val="clear" w:color="auto" w:fill="F2F2F2" w:themeFill="background1" w:themeFillShade="F2"/>
              </w:rPr>
              <w:t xml:space="preserve"> CMS should issue a SHO letter informing States that they will be required as a condition of approving any managed care SPA or waiver to include compliance with the requirements at 42 C.F.R. § 438.14 as a condition of payment in their contracts with MCOs. CMS should also require that MCOs deem all IHCPs to be in-network regardless of whether they enter into a network provider agreement or not.</w:t>
            </w:r>
            <w:r>
              <w:rPr>
                <w:rFonts w:cstheme="minorHAnsi"/>
                <w:color w:val="0F0F0F"/>
                <w:sz w:val="21"/>
                <w:szCs w:val="21"/>
                <w:shd w:val="clear" w:color="auto" w:fill="FFFFFF"/>
              </w:rPr>
              <w:t xml:space="preserve"> </w:t>
            </w:r>
          </w:p>
          <w:p w14:paraId="2E5FCC4E" w14:textId="77777777" w:rsidR="001D5D40" w:rsidRPr="001D5D40" w:rsidRDefault="001D5D40" w:rsidP="001D5D40">
            <w:pPr>
              <w:shd w:val="clear" w:color="auto" w:fill="F2F2F2" w:themeFill="background1" w:themeFillShade="F2"/>
              <w:cnfStyle w:val="000000100000" w:firstRow="0" w:lastRow="0" w:firstColumn="0" w:lastColumn="0" w:oddVBand="0" w:evenVBand="0" w:oddHBand="1" w:evenHBand="0" w:firstRowFirstColumn="0" w:firstRowLastColumn="0" w:lastRowFirstColumn="0" w:lastRowLastColumn="0"/>
              <w:rPr>
                <w:rFonts w:cstheme="minorHAnsi"/>
                <w:b/>
                <w:i/>
                <w:sz w:val="21"/>
                <w:szCs w:val="21"/>
              </w:rPr>
            </w:pPr>
          </w:p>
          <w:p w14:paraId="670C8925" w14:textId="77777777" w:rsidR="00C24E2D" w:rsidRDefault="003E4F6A" w:rsidP="001E21D9">
            <w:pPr>
              <w:pStyle w:val="ListParagraph"/>
              <w:numPr>
                <w:ilvl w:val="0"/>
                <w:numId w:val="16"/>
              </w:numPr>
              <w:ind w:left="252" w:hanging="270"/>
              <w:cnfStyle w:val="000000100000" w:firstRow="0" w:lastRow="0" w:firstColumn="0" w:lastColumn="0" w:oddVBand="0" w:evenVBand="0" w:oddHBand="1" w:evenHBand="0" w:firstRowFirstColumn="0" w:firstRowLastColumn="0" w:lastRowFirstColumn="0" w:lastRowLastColumn="0"/>
              <w:rPr>
                <w:b/>
                <w:i/>
                <w:sz w:val="21"/>
                <w:szCs w:val="21"/>
              </w:rPr>
            </w:pPr>
            <w:r>
              <w:rPr>
                <w:b/>
                <w:i/>
                <w:sz w:val="21"/>
                <w:szCs w:val="21"/>
              </w:rPr>
              <w:t>Tribal Request</w:t>
            </w:r>
            <w:r>
              <w:rPr>
                <w:rFonts w:cstheme="minorHAnsi"/>
                <w:b/>
                <w:i/>
                <w:sz w:val="21"/>
                <w:szCs w:val="21"/>
                <w:shd w:val="clear" w:color="auto" w:fill="F2F2F2" w:themeFill="background1" w:themeFillShade="F2"/>
              </w:rPr>
              <w:t xml:space="preserve">: </w:t>
            </w:r>
            <w:r>
              <w:rPr>
                <w:rFonts w:cstheme="minorHAnsi"/>
                <w:color w:val="0F0F0F"/>
                <w:sz w:val="21"/>
                <w:szCs w:val="21"/>
                <w:shd w:val="clear" w:color="auto" w:fill="F2F2F2" w:themeFill="background1" w:themeFillShade="F2"/>
              </w:rPr>
              <w:t xml:space="preserve"> CMS must be willing to entertain similar waivers that exempt cuts for services received through IHS and tribal providers that are eligible for 100% FMAP reimbursement.</w:t>
            </w:r>
          </w:p>
        </w:tc>
        <w:tc>
          <w:tcPr>
            <w:tcW w:w="3865" w:type="dxa"/>
          </w:tcPr>
          <w:p w14:paraId="54C29CB7" w14:textId="3D012037" w:rsidR="001D5D40" w:rsidRDefault="003E4F6A" w:rsidP="001E21D9">
            <w:pPr>
              <w:pStyle w:val="ListParagraph"/>
              <w:numPr>
                <w:ilvl w:val="0"/>
                <w:numId w:val="19"/>
              </w:numPr>
              <w:ind w:left="16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lastRenderedPageBreak/>
              <w:t xml:space="preserve">CMS is rethinking the Managed Care Oversight infrastructure.  CMS is holding a roundtable with MCOs and </w:t>
            </w:r>
            <w:r w:rsidR="001D5D40">
              <w:rPr>
                <w:sz w:val="21"/>
                <w:szCs w:val="21"/>
              </w:rPr>
              <w:t>T</w:t>
            </w:r>
            <w:r>
              <w:rPr>
                <w:sz w:val="21"/>
                <w:szCs w:val="21"/>
              </w:rPr>
              <w:t>ribal representatives</w:t>
            </w:r>
            <w:r w:rsidR="001D5D40">
              <w:rPr>
                <w:sz w:val="21"/>
                <w:szCs w:val="21"/>
              </w:rPr>
              <w:t>.</w:t>
            </w:r>
            <w:r>
              <w:rPr>
                <w:sz w:val="21"/>
                <w:szCs w:val="21"/>
              </w:rPr>
              <w:t xml:space="preserve"> </w:t>
            </w:r>
          </w:p>
          <w:p w14:paraId="66F64ACC" w14:textId="63768469" w:rsidR="00C24E2D" w:rsidRDefault="003E4F6A" w:rsidP="001D5D40">
            <w:pPr>
              <w:pStyle w:val="ListParagraph"/>
              <w:ind w:left="164"/>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 </w:t>
            </w:r>
          </w:p>
          <w:p w14:paraId="11A065B4" w14:textId="77777777" w:rsidR="00C24E2D" w:rsidRDefault="003E4F6A" w:rsidP="001E21D9">
            <w:pPr>
              <w:pStyle w:val="ListParagraph"/>
              <w:numPr>
                <w:ilvl w:val="0"/>
                <w:numId w:val="17"/>
              </w:numPr>
              <w:ind w:left="152" w:hanging="180"/>
              <w:cnfStyle w:val="000000100000" w:firstRow="0" w:lastRow="0" w:firstColumn="0" w:lastColumn="0" w:oddVBand="0" w:evenVBand="0" w:oddHBand="1" w:evenHBand="0" w:firstRowFirstColumn="0" w:firstRowLastColumn="0" w:lastRowFirstColumn="0" w:lastRowLastColumn="0"/>
              <w:rPr>
                <w:sz w:val="21"/>
                <w:szCs w:val="21"/>
              </w:rPr>
            </w:pPr>
            <w:r>
              <w:rPr>
                <w:color w:val="000000" w:themeColor="text1"/>
                <w:sz w:val="21"/>
                <w:szCs w:val="21"/>
              </w:rPr>
              <w:t>CMS has developed a protocol where NACs for your area can be a POC and once they receive a complaint from an IHCP, the NAC can work with CMS to determine</w:t>
            </w:r>
          </w:p>
          <w:p w14:paraId="516A6BF4" w14:textId="77777777" w:rsidR="00C24E2D" w:rsidRDefault="003E4F6A">
            <w:pPr>
              <w:pStyle w:val="ListParagraph"/>
              <w:ind w:left="152"/>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r>
              <w:rPr>
                <w:color w:val="000000" w:themeColor="text1"/>
                <w:sz w:val="21"/>
                <w:szCs w:val="21"/>
              </w:rPr>
              <w:t xml:space="preserve">if there is a violation of managed care rules. It will track the issues, have a </w:t>
            </w:r>
            <w:r>
              <w:rPr>
                <w:color w:val="000000" w:themeColor="text1"/>
                <w:sz w:val="21"/>
                <w:szCs w:val="21"/>
              </w:rPr>
              <w:lastRenderedPageBreak/>
              <w:t>point of contact and this will expedite resolutions.</w:t>
            </w:r>
          </w:p>
          <w:p w14:paraId="7ABC4701" w14:textId="77777777" w:rsidR="00C24E2D" w:rsidRDefault="00C24E2D">
            <w:pPr>
              <w:pStyle w:val="ListParagraph"/>
              <w:ind w:left="164" w:right="74"/>
              <w:cnfStyle w:val="000000100000" w:firstRow="0" w:lastRow="0" w:firstColumn="0" w:lastColumn="0" w:oddVBand="0" w:evenVBand="0" w:oddHBand="1" w:evenHBand="0" w:firstRowFirstColumn="0" w:firstRowLastColumn="0" w:lastRowFirstColumn="0" w:lastRowLastColumn="0"/>
              <w:rPr>
                <w:sz w:val="21"/>
                <w:szCs w:val="21"/>
              </w:rPr>
            </w:pPr>
          </w:p>
          <w:p w14:paraId="23FCE9A0" w14:textId="77777777" w:rsidR="00C24E2D" w:rsidRDefault="00C24E2D">
            <w:pPr>
              <w:pStyle w:val="ListParagraph"/>
              <w:ind w:left="74" w:right="74"/>
              <w:cnfStyle w:val="000000100000" w:firstRow="0" w:lastRow="0" w:firstColumn="0" w:lastColumn="0" w:oddVBand="0" w:evenVBand="0" w:oddHBand="1" w:evenHBand="0" w:firstRowFirstColumn="0" w:firstRowLastColumn="0" w:lastRowFirstColumn="0" w:lastRowLastColumn="0"/>
              <w:rPr>
                <w:sz w:val="21"/>
                <w:szCs w:val="21"/>
              </w:rPr>
            </w:pPr>
          </w:p>
        </w:tc>
      </w:tr>
      <w:tr w:rsidR="00C24E2D" w14:paraId="365FF422" w14:textId="77777777" w:rsidTr="00990B04">
        <w:trPr>
          <w:cantSplit/>
          <w:trHeight w:val="391"/>
        </w:trPr>
        <w:tc>
          <w:tcPr>
            <w:cnfStyle w:val="001000000000" w:firstRow="0" w:lastRow="0" w:firstColumn="1" w:lastColumn="0" w:oddVBand="0" w:evenVBand="0" w:oddHBand="0" w:evenHBand="0" w:firstRowFirstColumn="0" w:firstRowLastColumn="0" w:lastRowFirstColumn="0" w:lastRowLastColumn="0"/>
            <w:tcW w:w="2250" w:type="dxa"/>
          </w:tcPr>
          <w:p w14:paraId="3CD04C2F" w14:textId="77777777" w:rsidR="00C24E2D" w:rsidRDefault="003E4F6A">
            <w:pPr>
              <w:rPr>
                <w:b w:val="0"/>
                <w:bCs w:val="0"/>
                <w:sz w:val="22"/>
                <w:szCs w:val="22"/>
              </w:rPr>
            </w:pPr>
            <w:r>
              <w:rPr>
                <w:sz w:val="22"/>
                <w:szCs w:val="22"/>
              </w:rPr>
              <w:lastRenderedPageBreak/>
              <w:t>Medicaid Expansion</w:t>
            </w:r>
          </w:p>
          <w:p w14:paraId="1E076FD5" w14:textId="77777777" w:rsidR="00C24E2D" w:rsidRDefault="003E4F6A">
            <w:pPr>
              <w:rPr>
                <w:b w:val="0"/>
                <w:bCs w:val="0"/>
                <w:i/>
                <w:iCs/>
                <w:sz w:val="22"/>
                <w:szCs w:val="22"/>
              </w:rPr>
            </w:pPr>
            <w:r>
              <w:rPr>
                <w:b w:val="0"/>
                <w:bCs w:val="0"/>
                <w:i/>
                <w:iCs/>
                <w:sz w:val="22"/>
                <w:szCs w:val="22"/>
              </w:rPr>
              <w:t>CMS</w:t>
            </w:r>
          </w:p>
        </w:tc>
        <w:tc>
          <w:tcPr>
            <w:tcW w:w="3420" w:type="dxa"/>
            <w:gridSpan w:val="2"/>
          </w:tcPr>
          <w:p w14:paraId="1E5A002B" w14:textId="77777777" w:rsidR="00C24E2D" w:rsidRDefault="003E4F6A">
            <w:pPr>
              <w:cnfStyle w:val="000000000000" w:firstRow="0" w:lastRow="0" w:firstColumn="0" w:lastColumn="0" w:oddVBand="0" w:evenVBand="0" w:oddHBand="0" w:evenHBand="0" w:firstRowFirstColumn="0" w:firstRowLastColumn="0" w:lastRowFirstColumn="0" w:lastRowLastColumn="0"/>
              <w:rPr>
                <w:sz w:val="21"/>
                <w:szCs w:val="21"/>
              </w:rPr>
            </w:pPr>
            <w:r>
              <w:rPr>
                <w:b/>
                <w:i/>
                <w:sz w:val="21"/>
                <w:szCs w:val="21"/>
              </w:rPr>
              <w:t>Issue</w:t>
            </w:r>
            <w:r>
              <w:rPr>
                <w:sz w:val="21"/>
                <w:szCs w:val="21"/>
              </w:rPr>
              <w:t>: To date, 39 states (including DC) have adopted Medicaid expansion and 12 states have not adopted the expansion.</w:t>
            </w:r>
          </w:p>
          <w:p w14:paraId="7DC53787" w14:textId="77777777" w:rsidR="00C24E2D" w:rsidRDefault="003E4F6A" w:rsidP="001E21D9">
            <w:pPr>
              <w:pStyle w:val="ListParagraph"/>
              <w:numPr>
                <w:ilvl w:val="0"/>
                <w:numId w:val="17"/>
              </w:numPr>
              <w:ind w:left="257" w:hanging="257"/>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States that have not adopted Medicaid expansion: WY, SD, KS, TX, WI (partial Medicaid expansion), TN, MS, AL, GA, FL, SC, NC.</w:t>
            </w:r>
          </w:p>
        </w:tc>
        <w:tc>
          <w:tcPr>
            <w:tcW w:w="3600" w:type="dxa"/>
          </w:tcPr>
          <w:p w14:paraId="11F021F1" w14:textId="77777777" w:rsidR="00C24E2D" w:rsidRDefault="001E21D9">
            <w:pPr>
              <w:cnfStyle w:val="000000000000" w:firstRow="0" w:lastRow="0" w:firstColumn="0" w:lastColumn="0" w:oddVBand="0" w:evenVBand="0" w:oddHBand="0" w:evenHBand="0" w:firstRowFirstColumn="0" w:firstRowLastColumn="0" w:lastRowFirstColumn="0" w:lastRowLastColumn="0"/>
              <w:rPr>
                <w:rStyle w:val="Hyperlink"/>
                <w:b/>
                <w:bCs/>
                <w:sz w:val="21"/>
                <w:szCs w:val="21"/>
              </w:rPr>
            </w:pPr>
            <w:hyperlink r:id="rId26" w:history="1">
              <w:r w:rsidR="003E4F6A">
                <w:rPr>
                  <w:rStyle w:val="Hyperlink"/>
                  <w:b/>
                  <w:bCs/>
                  <w:sz w:val="21"/>
                  <w:szCs w:val="21"/>
                </w:rPr>
                <w:t>Kaiser Family Foundation Status of State Medicaid Expansion Map</w:t>
              </w:r>
            </w:hyperlink>
          </w:p>
          <w:p w14:paraId="4452E39B" w14:textId="77777777" w:rsidR="00C24E2D" w:rsidRDefault="00C24E2D">
            <w:pPr>
              <w:cnfStyle w:val="000000000000" w:firstRow="0" w:lastRow="0" w:firstColumn="0" w:lastColumn="0" w:oddVBand="0" w:evenVBand="0" w:oddHBand="0" w:evenHBand="0" w:firstRowFirstColumn="0" w:firstRowLastColumn="0" w:lastRowFirstColumn="0" w:lastRowLastColumn="0"/>
              <w:rPr>
                <w:rStyle w:val="Hyperlink"/>
                <w:b/>
                <w:bCs/>
              </w:rPr>
            </w:pPr>
          </w:p>
          <w:p w14:paraId="3AF28EF8" w14:textId="5F838CE2" w:rsidR="00C24E2D" w:rsidRDefault="00C24E2D">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p>
        </w:tc>
        <w:tc>
          <w:tcPr>
            <w:tcW w:w="3865" w:type="dxa"/>
          </w:tcPr>
          <w:p w14:paraId="06639BE2" w14:textId="77777777" w:rsidR="00C24E2D" w:rsidRDefault="00C24E2D">
            <w:pPr>
              <w:pStyle w:val="ListParagraph"/>
              <w:ind w:left="74"/>
              <w:cnfStyle w:val="000000000000" w:firstRow="0" w:lastRow="0" w:firstColumn="0" w:lastColumn="0" w:oddVBand="0" w:evenVBand="0" w:oddHBand="0" w:evenHBand="0" w:firstRowFirstColumn="0" w:firstRowLastColumn="0" w:lastRowFirstColumn="0" w:lastRowLastColumn="0"/>
              <w:rPr>
                <w:sz w:val="21"/>
                <w:szCs w:val="21"/>
              </w:rPr>
            </w:pPr>
          </w:p>
        </w:tc>
      </w:tr>
      <w:tr w:rsidR="00C24E2D" w14:paraId="69C46873" w14:textId="77777777" w:rsidTr="00990B04">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2250" w:type="dxa"/>
          </w:tcPr>
          <w:p w14:paraId="1A259DB0" w14:textId="77777777" w:rsidR="00C24E2D" w:rsidRDefault="003E4F6A">
            <w:pPr>
              <w:rPr>
                <w:b w:val="0"/>
                <w:bCs w:val="0"/>
                <w:sz w:val="22"/>
                <w:szCs w:val="22"/>
              </w:rPr>
            </w:pPr>
            <w:r>
              <w:rPr>
                <w:sz w:val="22"/>
                <w:szCs w:val="22"/>
              </w:rPr>
              <w:t>1115 Waivers</w:t>
            </w:r>
          </w:p>
          <w:p w14:paraId="301F1A8B" w14:textId="77777777" w:rsidR="00C24E2D" w:rsidRDefault="003E4F6A">
            <w:pPr>
              <w:rPr>
                <w:b w:val="0"/>
                <w:bCs w:val="0"/>
                <w:i/>
                <w:iCs/>
                <w:sz w:val="22"/>
                <w:szCs w:val="22"/>
              </w:rPr>
            </w:pPr>
            <w:r>
              <w:rPr>
                <w:b w:val="0"/>
                <w:bCs w:val="0"/>
                <w:i/>
                <w:iCs/>
                <w:sz w:val="22"/>
                <w:szCs w:val="22"/>
              </w:rPr>
              <w:t>CMS</w:t>
            </w:r>
          </w:p>
        </w:tc>
        <w:tc>
          <w:tcPr>
            <w:tcW w:w="3420" w:type="dxa"/>
            <w:gridSpan w:val="2"/>
          </w:tcPr>
          <w:p w14:paraId="344A036A" w14:textId="77777777" w:rsidR="00C24E2D" w:rsidRDefault="003E4F6A">
            <w:pPr>
              <w:cnfStyle w:val="000000100000" w:firstRow="0" w:lastRow="0" w:firstColumn="0" w:lastColumn="0" w:oddVBand="0" w:evenVBand="0" w:oddHBand="1" w:evenHBand="0" w:firstRowFirstColumn="0" w:firstRowLastColumn="0" w:lastRowFirstColumn="0" w:lastRowLastColumn="0"/>
              <w:rPr>
                <w:sz w:val="21"/>
                <w:szCs w:val="21"/>
              </w:rPr>
            </w:pPr>
            <w:r>
              <w:rPr>
                <w:b/>
                <w:bCs/>
                <w:i/>
                <w:iCs/>
                <w:sz w:val="21"/>
                <w:szCs w:val="21"/>
              </w:rPr>
              <w:t>Issues:</w:t>
            </w:r>
            <w:r>
              <w:rPr>
                <w:sz w:val="21"/>
                <w:szCs w:val="21"/>
              </w:rPr>
              <w:t xml:space="preserve"> </w:t>
            </w:r>
          </w:p>
          <w:p w14:paraId="40BD34F8" w14:textId="0313C09C" w:rsidR="00C24E2D" w:rsidRPr="001D5D40" w:rsidRDefault="003E4F6A" w:rsidP="001E21D9">
            <w:pPr>
              <w:pStyle w:val="ListParagraph"/>
              <w:numPr>
                <w:ilvl w:val="0"/>
                <w:numId w:val="17"/>
              </w:numPr>
              <w:ind w:left="257" w:hanging="257"/>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Arizona waiver pending that would exempt AI/AN beneficiaries from $1000 cap for dental services, would authorize reimbursement for traditional healing and would extend uncompensated care waivers </w:t>
            </w:r>
          </w:p>
        </w:tc>
        <w:tc>
          <w:tcPr>
            <w:tcW w:w="3600" w:type="dxa"/>
          </w:tcPr>
          <w:p w14:paraId="35A5EBE8" w14:textId="77777777" w:rsidR="00C24E2D" w:rsidRDefault="001E21D9">
            <w:pPr>
              <w:cnfStyle w:val="000000100000" w:firstRow="0" w:lastRow="0" w:firstColumn="0" w:lastColumn="0" w:oddVBand="0" w:evenVBand="0" w:oddHBand="1" w:evenHBand="0" w:firstRowFirstColumn="0" w:firstRowLastColumn="0" w:lastRowFirstColumn="0" w:lastRowLastColumn="0"/>
              <w:rPr>
                <w:b/>
                <w:bCs/>
                <w:sz w:val="21"/>
                <w:szCs w:val="21"/>
              </w:rPr>
            </w:pPr>
            <w:hyperlink r:id="rId27" w:history="1">
              <w:r w:rsidR="003E4F6A">
                <w:rPr>
                  <w:rStyle w:val="Hyperlink"/>
                  <w:b/>
                  <w:bCs/>
                  <w:sz w:val="21"/>
                  <w:szCs w:val="21"/>
                </w:rPr>
                <w:t>CMS Waivers</w:t>
              </w:r>
            </w:hyperlink>
          </w:p>
        </w:tc>
        <w:tc>
          <w:tcPr>
            <w:tcW w:w="3865" w:type="dxa"/>
          </w:tcPr>
          <w:p w14:paraId="7C3806BA" w14:textId="77777777" w:rsidR="00C24E2D" w:rsidRDefault="003E4F6A" w:rsidP="001E21D9">
            <w:pPr>
              <w:pStyle w:val="ListParagraph"/>
              <w:numPr>
                <w:ilvl w:val="0"/>
                <w:numId w:val="10"/>
              </w:numPr>
              <w:ind w:left="168"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CMS expected to take action to rescind approval of all work requirement related waivers</w:t>
            </w:r>
          </w:p>
          <w:p w14:paraId="0C671605" w14:textId="77777777" w:rsidR="00C24E2D" w:rsidRDefault="00C24E2D">
            <w:pPr>
              <w:ind w:left="-106"/>
              <w:cnfStyle w:val="000000100000" w:firstRow="0" w:lastRow="0" w:firstColumn="0" w:lastColumn="0" w:oddVBand="0" w:evenVBand="0" w:oddHBand="1" w:evenHBand="0" w:firstRowFirstColumn="0" w:firstRowLastColumn="0" w:lastRowFirstColumn="0" w:lastRowLastColumn="0"/>
              <w:rPr>
                <w:sz w:val="21"/>
                <w:szCs w:val="21"/>
              </w:rPr>
            </w:pPr>
          </w:p>
        </w:tc>
      </w:tr>
      <w:tr w:rsidR="00C24E2D" w14:paraId="0F7206FC" w14:textId="77777777" w:rsidTr="00990B04">
        <w:trPr>
          <w:cantSplit/>
          <w:trHeight w:val="391"/>
        </w:trPr>
        <w:tc>
          <w:tcPr>
            <w:cnfStyle w:val="001000000000" w:firstRow="0" w:lastRow="0" w:firstColumn="1" w:lastColumn="0" w:oddVBand="0" w:evenVBand="0" w:oddHBand="0" w:evenHBand="0" w:firstRowFirstColumn="0" w:firstRowLastColumn="0" w:lastRowFirstColumn="0" w:lastRowLastColumn="0"/>
            <w:tcW w:w="2250" w:type="dxa"/>
          </w:tcPr>
          <w:p w14:paraId="2EE7EB2E" w14:textId="77777777" w:rsidR="00C24E2D" w:rsidRDefault="003E4F6A">
            <w:pPr>
              <w:rPr>
                <w:b w:val="0"/>
                <w:bCs w:val="0"/>
                <w:sz w:val="22"/>
                <w:szCs w:val="22"/>
              </w:rPr>
            </w:pPr>
            <w:r>
              <w:rPr>
                <w:sz w:val="22"/>
                <w:szCs w:val="22"/>
              </w:rPr>
              <w:t>Tribal Sponsorship</w:t>
            </w:r>
          </w:p>
          <w:p w14:paraId="123610AA" w14:textId="77777777" w:rsidR="00C24E2D" w:rsidRDefault="003E4F6A">
            <w:pPr>
              <w:rPr>
                <w:b w:val="0"/>
                <w:bCs w:val="0"/>
                <w:i/>
                <w:iCs/>
                <w:sz w:val="22"/>
                <w:szCs w:val="22"/>
              </w:rPr>
            </w:pPr>
            <w:r>
              <w:rPr>
                <w:b w:val="0"/>
                <w:bCs w:val="0"/>
                <w:i/>
                <w:iCs/>
                <w:sz w:val="22"/>
                <w:szCs w:val="22"/>
              </w:rPr>
              <w:t>CMS</w:t>
            </w:r>
          </w:p>
        </w:tc>
        <w:tc>
          <w:tcPr>
            <w:tcW w:w="3420" w:type="dxa"/>
            <w:gridSpan w:val="2"/>
          </w:tcPr>
          <w:p w14:paraId="3F2A1224" w14:textId="77777777" w:rsidR="00C24E2D" w:rsidRDefault="003E4F6A">
            <w:pPr>
              <w:cnfStyle w:val="000000000000" w:firstRow="0" w:lastRow="0" w:firstColumn="0" w:lastColumn="0" w:oddVBand="0" w:evenVBand="0" w:oddHBand="0" w:evenHBand="0" w:firstRowFirstColumn="0" w:firstRowLastColumn="0" w:lastRowFirstColumn="0" w:lastRowLastColumn="0"/>
              <w:rPr>
                <w:sz w:val="21"/>
                <w:szCs w:val="21"/>
              </w:rPr>
            </w:pPr>
            <w:r>
              <w:rPr>
                <w:b/>
                <w:i/>
                <w:sz w:val="21"/>
                <w:szCs w:val="21"/>
              </w:rPr>
              <w:t>Issue</w:t>
            </w:r>
            <w:r>
              <w:rPr>
                <w:sz w:val="21"/>
                <w:szCs w:val="21"/>
              </w:rPr>
              <w:t>: How many Tribes are participating in Tribal sponsorship?</w:t>
            </w:r>
          </w:p>
          <w:p w14:paraId="4C06B463" w14:textId="77777777" w:rsidR="00C24E2D" w:rsidRDefault="00C24E2D">
            <w:pPr>
              <w:cnfStyle w:val="000000000000" w:firstRow="0" w:lastRow="0" w:firstColumn="0" w:lastColumn="0" w:oddVBand="0" w:evenVBand="0" w:oddHBand="0" w:evenHBand="0" w:firstRowFirstColumn="0" w:firstRowLastColumn="0" w:lastRowFirstColumn="0" w:lastRowLastColumn="0"/>
              <w:rPr>
                <w:sz w:val="21"/>
                <w:szCs w:val="21"/>
              </w:rPr>
            </w:pPr>
          </w:p>
          <w:p w14:paraId="3843147B" w14:textId="77777777" w:rsidR="00C24E2D" w:rsidRDefault="00C24E2D">
            <w:pPr>
              <w:cnfStyle w:val="000000000000" w:firstRow="0" w:lastRow="0" w:firstColumn="0" w:lastColumn="0" w:oddVBand="0" w:evenVBand="0" w:oddHBand="0" w:evenHBand="0" w:firstRowFirstColumn="0" w:firstRowLastColumn="0" w:lastRowFirstColumn="0" w:lastRowLastColumn="0"/>
              <w:rPr>
                <w:sz w:val="21"/>
                <w:szCs w:val="21"/>
              </w:rPr>
            </w:pPr>
          </w:p>
        </w:tc>
        <w:tc>
          <w:tcPr>
            <w:tcW w:w="3600" w:type="dxa"/>
          </w:tcPr>
          <w:p w14:paraId="00757659" w14:textId="77777777" w:rsidR="00C24E2D" w:rsidRDefault="001E21D9">
            <w:pPr>
              <w:cnfStyle w:val="000000000000" w:firstRow="0" w:lastRow="0" w:firstColumn="0" w:lastColumn="0" w:oddVBand="0" w:evenVBand="0" w:oddHBand="0" w:evenHBand="0" w:firstRowFirstColumn="0" w:firstRowLastColumn="0" w:lastRowFirstColumn="0" w:lastRowLastColumn="0"/>
              <w:rPr>
                <w:rStyle w:val="Hyperlink"/>
                <w:b/>
                <w:bCs/>
                <w:sz w:val="21"/>
                <w:szCs w:val="21"/>
              </w:rPr>
            </w:pPr>
            <w:hyperlink r:id="rId28" w:history="1">
              <w:r w:rsidR="003E4F6A">
                <w:rPr>
                  <w:rStyle w:val="Hyperlink"/>
                  <w:b/>
                  <w:bCs/>
                  <w:sz w:val="21"/>
                  <w:szCs w:val="21"/>
                </w:rPr>
                <w:t>TSGAC Tribal Sponsorship Key Tasks</w:t>
              </w:r>
            </w:hyperlink>
            <w:r w:rsidR="003E4F6A">
              <w:rPr>
                <w:rStyle w:val="Hyperlink"/>
                <w:b/>
                <w:bCs/>
                <w:sz w:val="21"/>
                <w:szCs w:val="21"/>
              </w:rPr>
              <w:t xml:space="preserve"> </w:t>
            </w:r>
          </w:p>
          <w:p w14:paraId="3549E8A2" w14:textId="77777777" w:rsidR="00C24E2D" w:rsidRDefault="00C24E2D">
            <w:pPr>
              <w:cnfStyle w:val="000000000000" w:firstRow="0" w:lastRow="0" w:firstColumn="0" w:lastColumn="0" w:oddVBand="0" w:evenVBand="0" w:oddHBand="0" w:evenHBand="0" w:firstRowFirstColumn="0" w:firstRowLastColumn="0" w:lastRowFirstColumn="0" w:lastRowLastColumn="0"/>
              <w:rPr>
                <w:rStyle w:val="Hyperlink"/>
                <w:b/>
                <w:bCs/>
                <w:sz w:val="21"/>
                <w:szCs w:val="21"/>
              </w:rPr>
            </w:pPr>
          </w:p>
          <w:p w14:paraId="7876F9B2" w14:textId="725935EC" w:rsidR="00C24E2D" w:rsidRPr="001D5D40" w:rsidRDefault="003E4F6A" w:rsidP="001E21D9">
            <w:pPr>
              <w:pStyle w:val="ListParagraph"/>
              <w:numPr>
                <w:ilvl w:val="0"/>
                <w:numId w:val="10"/>
              </w:numPr>
              <w:ind w:left="254" w:hanging="254"/>
              <w:cnfStyle w:val="000000000000" w:firstRow="0" w:lastRow="0" w:firstColumn="0" w:lastColumn="0" w:oddVBand="0" w:evenVBand="0" w:oddHBand="0" w:evenHBand="0" w:firstRowFirstColumn="0" w:firstRowLastColumn="0" w:lastRowFirstColumn="0" w:lastRowLastColumn="0"/>
              <w:rPr>
                <w:b/>
                <w:bCs/>
                <w:sz w:val="21"/>
                <w:szCs w:val="21"/>
              </w:rPr>
            </w:pPr>
            <w:r>
              <w:rPr>
                <w:sz w:val="21"/>
                <w:szCs w:val="21"/>
              </w:rPr>
              <w:lastRenderedPageBreak/>
              <w:t xml:space="preserve">TSGAC provided presentation </w:t>
            </w:r>
            <w:proofErr w:type="gramStart"/>
            <w:r>
              <w:rPr>
                <w:sz w:val="21"/>
                <w:szCs w:val="21"/>
              </w:rPr>
              <w:t>to  Native</w:t>
            </w:r>
            <w:proofErr w:type="gramEnd"/>
            <w:r>
              <w:rPr>
                <w:sz w:val="21"/>
                <w:szCs w:val="21"/>
              </w:rPr>
              <w:t xml:space="preserve"> American Contacts</w:t>
            </w:r>
            <w:r>
              <w:rPr>
                <w:b/>
                <w:bCs/>
                <w:sz w:val="21"/>
                <w:szCs w:val="21"/>
              </w:rPr>
              <w:t xml:space="preserve"> </w:t>
            </w:r>
            <w:r>
              <w:rPr>
                <w:bCs/>
                <w:sz w:val="21"/>
                <w:szCs w:val="21"/>
              </w:rPr>
              <w:t>October 19.</w:t>
            </w:r>
          </w:p>
        </w:tc>
        <w:tc>
          <w:tcPr>
            <w:tcW w:w="3865" w:type="dxa"/>
          </w:tcPr>
          <w:p w14:paraId="07562910" w14:textId="77777777" w:rsidR="00C24E2D" w:rsidRDefault="00C24E2D">
            <w:pPr>
              <w:pStyle w:val="ListParagraph"/>
              <w:ind w:left="254"/>
              <w:cnfStyle w:val="000000000000" w:firstRow="0" w:lastRow="0" w:firstColumn="0" w:lastColumn="0" w:oddVBand="0" w:evenVBand="0" w:oddHBand="0" w:evenHBand="0" w:firstRowFirstColumn="0" w:firstRowLastColumn="0" w:lastRowFirstColumn="0" w:lastRowLastColumn="0"/>
              <w:rPr>
                <w:sz w:val="21"/>
                <w:szCs w:val="21"/>
              </w:rPr>
            </w:pPr>
          </w:p>
        </w:tc>
      </w:tr>
      <w:tr w:rsidR="00C24E2D" w14:paraId="0D8601C0" w14:textId="77777777" w:rsidTr="00990B04">
        <w:trPr>
          <w:cnfStyle w:val="000000100000" w:firstRow="0" w:lastRow="0" w:firstColumn="0" w:lastColumn="0" w:oddVBand="0" w:evenVBand="0" w:oddHBand="1" w:evenHBand="0" w:firstRowFirstColumn="0" w:firstRowLastColumn="0" w:lastRowFirstColumn="0" w:lastRowLastColumn="0"/>
          <w:cantSplit/>
          <w:trHeight w:val="391"/>
        </w:trPr>
        <w:tc>
          <w:tcPr>
            <w:cnfStyle w:val="001000000000" w:firstRow="0" w:lastRow="0" w:firstColumn="1" w:lastColumn="0" w:oddVBand="0" w:evenVBand="0" w:oddHBand="0" w:evenHBand="0" w:firstRowFirstColumn="0" w:firstRowLastColumn="0" w:lastRowFirstColumn="0" w:lastRowLastColumn="0"/>
            <w:tcW w:w="2250" w:type="dxa"/>
          </w:tcPr>
          <w:p w14:paraId="24829F8E" w14:textId="77777777" w:rsidR="00C24E2D" w:rsidRDefault="003E4F6A">
            <w:pPr>
              <w:rPr>
                <w:b w:val="0"/>
                <w:bCs w:val="0"/>
                <w:sz w:val="22"/>
                <w:szCs w:val="22"/>
              </w:rPr>
            </w:pPr>
            <w:r>
              <w:rPr>
                <w:sz w:val="22"/>
                <w:szCs w:val="22"/>
              </w:rPr>
              <w:t xml:space="preserve">Marketplace </w:t>
            </w:r>
          </w:p>
          <w:p w14:paraId="422FD24B" w14:textId="77777777" w:rsidR="00C24E2D" w:rsidRDefault="003E4F6A">
            <w:pPr>
              <w:rPr>
                <w:b w:val="0"/>
                <w:bCs w:val="0"/>
                <w:i/>
                <w:iCs/>
                <w:sz w:val="22"/>
                <w:szCs w:val="22"/>
              </w:rPr>
            </w:pPr>
            <w:r>
              <w:rPr>
                <w:b w:val="0"/>
                <w:bCs w:val="0"/>
                <w:i/>
                <w:iCs/>
                <w:sz w:val="22"/>
                <w:szCs w:val="22"/>
              </w:rPr>
              <w:t>CMS</w:t>
            </w:r>
          </w:p>
        </w:tc>
        <w:tc>
          <w:tcPr>
            <w:tcW w:w="3420" w:type="dxa"/>
            <w:gridSpan w:val="2"/>
          </w:tcPr>
          <w:p w14:paraId="3FA35A91" w14:textId="77777777" w:rsidR="00C24E2D" w:rsidRDefault="003E4F6A">
            <w:pPr>
              <w:cnfStyle w:val="000000100000" w:firstRow="0" w:lastRow="0" w:firstColumn="0" w:lastColumn="0" w:oddVBand="0" w:evenVBand="0" w:oddHBand="1" w:evenHBand="0" w:firstRowFirstColumn="0" w:firstRowLastColumn="0" w:lastRowFirstColumn="0" w:lastRowLastColumn="0"/>
              <w:rPr>
                <w:rFonts w:cs="Arial"/>
                <w:b/>
                <w:i/>
                <w:sz w:val="21"/>
                <w:szCs w:val="21"/>
              </w:rPr>
            </w:pPr>
            <w:r>
              <w:rPr>
                <w:rFonts w:cs="Arial"/>
                <w:b/>
                <w:i/>
                <w:sz w:val="21"/>
                <w:szCs w:val="21"/>
              </w:rPr>
              <w:t>Issues:</w:t>
            </w:r>
          </w:p>
          <w:p w14:paraId="78D645EA" w14:textId="77777777" w:rsidR="00C24E2D" w:rsidRDefault="003E4F6A" w:rsidP="001E21D9">
            <w:pPr>
              <w:pStyle w:val="ListParagraph"/>
              <w:numPr>
                <w:ilvl w:val="0"/>
                <w:numId w:val="20"/>
              </w:numPr>
              <w:ind w:left="257" w:hanging="257"/>
              <w:cnfStyle w:val="000000100000" w:firstRow="0" w:lastRow="0" w:firstColumn="0" w:lastColumn="0" w:oddVBand="0" w:evenVBand="0" w:oddHBand="1" w:evenHBand="0" w:firstRowFirstColumn="0" w:firstRowLastColumn="0" w:lastRowFirstColumn="0" w:lastRowLastColumn="0"/>
              <w:rPr>
                <w:b/>
                <w:i/>
                <w:sz w:val="21"/>
                <w:szCs w:val="21"/>
              </w:rPr>
            </w:pPr>
            <w:r>
              <w:rPr>
                <w:rFonts w:cs="Arial"/>
                <w:sz w:val="21"/>
                <w:szCs w:val="21"/>
              </w:rPr>
              <w:t xml:space="preserve">Marketplace enrollment is </w:t>
            </w:r>
            <w:proofErr w:type="gramStart"/>
            <w:r>
              <w:rPr>
                <w:rFonts w:cs="Arial"/>
                <w:sz w:val="21"/>
                <w:szCs w:val="21"/>
              </w:rPr>
              <w:t>increasing, but</w:t>
            </w:r>
            <w:proofErr w:type="gramEnd"/>
            <w:r>
              <w:rPr>
                <w:rFonts w:cs="Arial"/>
                <w:sz w:val="21"/>
                <w:szCs w:val="21"/>
              </w:rPr>
              <w:t xml:space="preserve"> compared nationwide it is not a significant increase. </w:t>
            </w:r>
          </w:p>
          <w:p w14:paraId="4F4508A9" w14:textId="77777777" w:rsidR="00C24E2D" w:rsidRDefault="003E4F6A" w:rsidP="001E21D9">
            <w:pPr>
              <w:pStyle w:val="ListParagraph"/>
              <w:numPr>
                <w:ilvl w:val="0"/>
                <w:numId w:val="20"/>
              </w:numPr>
              <w:ind w:left="257" w:hanging="257"/>
              <w:cnfStyle w:val="000000100000" w:firstRow="0" w:lastRow="0" w:firstColumn="0" w:lastColumn="0" w:oddVBand="0" w:evenVBand="0" w:oddHBand="1" w:evenHBand="0" w:firstRowFirstColumn="0" w:firstRowLastColumn="0" w:lastRowFirstColumn="0" w:lastRowLastColumn="0"/>
              <w:rPr>
                <w:b/>
                <w:i/>
                <w:sz w:val="21"/>
                <w:szCs w:val="21"/>
              </w:rPr>
            </w:pPr>
            <w:r>
              <w:rPr>
                <w:sz w:val="21"/>
                <w:szCs w:val="21"/>
              </w:rPr>
              <w:t>Increase AI/AN (FFM) enrollment with zero and limited cost-sharing protections.</w:t>
            </w:r>
          </w:p>
          <w:p w14:paraId="266A0F8A" w14:textId="77777777" w:rsidR="00C24E2D" w:rsidRDefault="003E4F6A" w:rsidP="001E21D9">
            <w:pPr>
              <w:pStyle w:val="ListParagraph"/>
              <w:numPr>
                <w:ilvl w:val="0"/>
                <w:numId w:val="20"/>
              </w:numPr>
              <w:ind w:left="257" w:hanging="257"/>
              <w:cnfStyle w:val="000000100000" w:firstRow="0" w:lastRow="0" w:firstColumn="0" w:lastColumn="0" w:oddVBand="0" w:evenVBand="0" w:oddHBand="1" w:evenHBand="0" w:firstRowFirstColumn="0" w:firstRowLastColumn="0" w:lastRowFirstColumn="0" w:lastRowLastColumn="0"/>
              <w:rPr>
                <w:b/>
                <w:i/>
                <w:sz w:val="21"/>
                <w:szCs w:val="21"/>
              </w:rPr>
            </w:pPr>
            <w:r>
              <w:rPr>
                <w:sz w:val="21"/>
                <w:szCs w:val="21"/>
              </w:rPr>
              <w:t>Increase enrollment in bronze metal level Marketplace plan for AI/AN enrollees to receive the greatest value.</w:t>
            </w:r>
          </w:p>
          <w:p w14:paraId="4DE2FA4C" w14:textId="77777777" w:rsidR="00C24E2D" w:rsidRDefault="003E4F6A" w:rsidP="001E21D9">
            <w:pPr>
              <w:pStyle w:val="ListParagraph"/>
              <w:numPr>
                <w:ilvl w:val="0"/>
                <w:numId w:val="20"/>
              </w:numPr>
              <w:ind w:left="257" w:hanging="257"/>
              <w:cnfStyle w:val="000000100000" w:firstRow="0" w:lastRow="0" w:firstColumn="0" w:lastColumn="0" w:oddVBand="0" w:evenVBand="0" w:oddHBand="1" w:evenHBand="0" w:firstRowFirstColumn="0" w:firstRowLastColumn="0" w:lastRowFirstColumn="0" w:lastRowLastColumn="0"/>
              <w:rPr>
                <w:b/>
                <w:i/>
                <w:sz w:val="21"/>
                <w:szCs w:val="21"/>
              </w:rPr>
            </w:pPr>
            <w:r>
              <w:rPr>
                <w:rFonts w:cs="Arial"/>
                <w:i/>
                <w:sz w:val="21"/>
                <w:szCs w:val="21"/>
              </w:rPr>
              <w:t>Enrollment Issue somewhat-resolved</w:t>
            </w:r>
            <w:r>
              <w:rPr>
                <w:rFonts w:cs="Arial"/>
                <w:sz w:val="21"/>
                <w:szCs w:val="21"/>
              </w:rPr>
              <w:t xml:space="preserve">: a member of a federally recognized tribe won’t be able to use the special cost-sharing savings if they enroll in the same Marketplace plan with a non-tribal member. </w:t>
            </w:r>
            <w:r>
              <w:rPr>
                <w:rFonts w:cs="Arial"/>
                <w:bCs/>
                <w:sz w:val="21"/>
                <w:szCs w:val="21"/>
              </w:rPr>
              <w:t>Tribal members and non-tribal members should enroll in separate plans to take advantage of all potential savings.</w:t>
            </w:r>
          </w:p>
        </w:tc>
        <w:tc>
          <w:tcPr>
            <w:tcW w:w="3600" w:type="dxa"/>
          </w:tcPr>
          <w:p w14:paraId="17A9154C" w14:textId="77777777" w:rsidR="00C24E2D" w:rsidRDefault="003E4F6A" w:rsidP="001E21D9">
            <w:pPr>
              <w:pStyle w:val="ListParagraph"/>
              <w:numPr>
                <w:ilvl w:val="0"/>
                <w:numId w:val="8"/>
              </w:numPr>
              <w:ind w:left="164" w:hanging="18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 xml:space="preserve">CCIIO included </w:t>
            </w:r>
            <w:proofErr w:type="gramStart"/>
            <w:r>
              <w:rPr>
                <w:sz w:val="21"/>
                <w:szCs w:val="21"/>
              </w:rPr>
              <w:t>all of</w:t>
            </w:r>
            <w:proofErr w:type="gramEnd"/>
            <w:r>
              <w:rPr>
                <w:sz w:val="21"/>
                <w:szCs w:val="21"/>
              </w:rPr>
              <w:t xml:space="preserve"> TTAG’s suggestions into the 2021 plan year letter to issuers. Directs issuers to the zero and limited cost sharing language in the SBC.</w:t>
            </w:r>
          </w:p>
          <w:p w14:paraId="4CA2B65C" w14:textId="77777777" w:rsidR="00C24E2D" w:rsidRDefault="00C24E2D">
            <w:pPr>
              <w:cnfStyle w:val="000000100000" w:firstRow="0" w:lastRow="0" w:firstColumn="0" w:lastColumn="0" w:oddVBand="0" w:evenVBand="0" w:oddHBand="1" w:evenHBand="0" w:firstRowFirstColumn="0" w:firstRowLastColumn="0" w:lastRowFirstColumn="0" w:lastRowLastColumn="0"/>
              <w:rPr>
                <w:sz w:val="21"/>
                <w:szCs w:val="21"/>
              </w:rPr>
            </w:pPr>
          </w:p>
          <w:p w14:paraId="193AD8A4" w14:textId="77777777" w:rsidR="00C24E2D" w:rsidRDefault="001E21D9">
            <w:pPr>
              <w:cnfStyle w:val="000000100000" w:firstRow="0" w:lastRow="0" w:firstColumn="0" w:lastColumn="0" w:oddVBand="0" w:evenVBand="0" w:oddHBand="1" w:evenHBand="0" w:firstRowFirstColumn="0" w:firstRowLastColumn="0" w:lastRowFirstColumn="0" w:lastRowLastColumn="0"/>
              <w:rPr>
                <w:color w:val="000000" w:themeColor="text1"/>
                <w:sz w:val="21"/>
                <w:szCs w:val="21"/>
              </w:rPr>
            </w:pPr>
            <w:hyperlink r:id="rId29" w:history="1">
              <w:r w:rsidR="003E4F6A">
                <w:rPr>
                  <w:rStyle w:val="Hyperlink"/>
                  <w:b/>
                  <w:sz w:val="21"/>
                  <w:szCs w:val="21"/>
                </w:rPr>
                <w:t>11/25/2020 CMS Proposed Rule Seeks to Reduce Exchange Fees to Lower Premiums for Plans using the Federal Enrollment Platform</w:t>
              </w:r>
            </w:hyperlink>
            <w:r w:rsidR="003E4F6A">
              <w:rPr>
                <w:b/>
                <w:sz w:val="21"/>
                <w:szCs w:val="21"/>
              </w:rPr>
              <w:t xml:space="preserve"> </w:t>
            </w:r>
          </w:p>
          <w:p w14:paraId="0195D0AB" w14:textId="77777777" w:rsidR="00C24E2D" w:rsidRDefault="00C24E2D">
            <w:pPr>
              <w:cnfStyle w:val="000000100000" w:firstRow="0" w:lastRow="0" w:firstColumn="0" w:lastColumn="0" w:oddVBand="0" w:evenVBand="0" w:oddHBand="1" w:evenHBand="0" w:firstRowFirstColumn="0" w:firstRowLastColumn="0" w:lastRowFirstColumn="0" w:lastRowLastColumn="0"/>
              <w:rPr>
                <w:b/>
                <w:bCs/>
                <w:sz w:val="21"/>
                <w:szCs w:val="21"/>
              </w:rPr>
            </w:pPr>
          </w:p>
          <w:p w14:paraId="6B72CF5D" w14:textId="77777777" w:rsidR="00C24E2D" w:rsidRDefault="001E21D9">
            <w:pPr>
              <w:cnfStyle w:val="000000100000" w:firstRow="0" w:lastRow="0" w:firstColumn="0" w:lastColumn="0" w:oddVBand="0" w:evenVBand="0" w:oddHBand="1" w:evenHBand="0" w:firstRowFirstColumn="0" w:firstRowLastColumn="0" w:lastRowFirstColumn="0" w:lastRowLastColumn="0"/>
              <w:rPr>
                <w:rStyle w:val="Hyperlink"/>
                <w:b/>
                <w:bCs/>
                <w:sz w:val="21"/>
                <w:szCs w:val="21"/>
              </w:rPr>
            </w:pPr>
            <w:hyperlink r:id="rId30" w:history="1">
              <w:r w:rsidR="003E4F6A">
                <w:rPr>
                  <w:rStyle w:val="Hyperlink"/>
                  <w:b/>
                  <w:bCs/>
                  <w:sz w:val="21"/>
                  <w:szCs w:val="21"/>
                </w:rPr>
                <w:t>TSGAC Marketplace Matrix</w:t>
              </w:r>
            </w:hyperlink>
          </w:p>
          <w:p w14:paraId="2E8A192D" w14:textId="77777777" w:rsidR="00C24E2D" w:rsidRDefault="00C24E2D">
            <w:pPr>
              <w:cnfStyle w:val="000000100000" w:firstRow="0" w:lastRow="0" w:firstColumn="0" w:lastColumn="0" w:oddVBand="0" w:evenVBand="0" w:oddHBand="1" w:evenHBand="0" w:firstRowFirstColumn="0" w:firstRowLastColumn="0" w:lastRowFirstColumn="0" w:lastRowLastColumn="0"/>
              <w:rPr>
                <w:b/>
                <w:bCs/>
                <w:sz w:val="21"/>
                <w:szCs w:val="21"/>
              </w:rPr>
            </w:pPr>
          </w:p>
          <w:p w14:paraId="511C6618" w14:textId="77777777" w:rsidR="00C24E2D" w:rsidRDefault="003E4F6A">
            <w:pPr>
              <w:cnfStyle w:val="000000100000" w:firstRow="0" w:lastRow="0" w:firstColumn="0" w:lastColumn="0" w:oddVBand="0" w:evenVBand="0" w:oddHBand="1" w:evenHBand="0" w:firstRowFirstColumn="0" w:firstRowLastColumn="0" w:lastRowFirstColumn="0" w:lastRowLastColumn="0"/>
              <w:rPr>
                <w:bCs/>
                <w:color w:val="000000" w:themeColor="text1"/>
                <w:sz w:val="21"/>
                <w:szCs w:val="21"/>
              </w:rPr>
            </w:pPr>
            <w:r>
              <w:rPr>
                <w:b/>
                <w:bCs/>
                <w:color w:val="C00000"/>
                <w:sz w:val="21"/>
                <w:szCs w:val="21"/>
              </w:rPr>
              <w:t xml:space="preserve">FOLLOW-UP: </w:t>
            </w:r>
            <w:r>
              <w:rPr>
                <w:bCs/>
                <w:color w:val="000000" w:themeColor="text1"/>
                <w:sz w:val="21"/>
                <w:szCs w:val="21"/>
              </w:rPr>
              <w:t xml:space="preserve">Analyze 2020 Marketplace data and send letter to CMS on policy and guidance requests related to trends in Marketplace enrollment.  </w:t>
            </w:r>
          </w:p>
          <w:p w14:paraId="20402F88" w14:textId="77777777" w:rsidR="00990B04" w:rsidRDefault="00990B04">
            <w:pPr>
              <w:cnfStyle w:val="000000100000" w:firstRow="0" w:lastRow="0" w:firstColumn="0" w:lastColumn="0" w:oddVBand="0" w:evenVBand="0" w:oddHBand="1" w:evenHBand="0" w:firstRowFirstColumn="0" w:firstRowLastColumn="0" w:lastRowFirstColumn="0" w:lastRowLastColumn="0"/>
              <w:rPr>
                <w:bCs/>
                <w:color w:val="000000" w:themeColor="text1"/>
                <w:sz w:val="21"/>
                <w:szCs w:val="21"/>
              </w:rPr>
            </w:pPr>
          </w:p>
          <w:p w14:paraId="02F49211" w14:textId="3D0802EB" w:rsidR="00990B04" w:rsidRDefault="00990B04">
            <w:pPr>
              <w:cnfStyle w:val="000000100000" w:firstRow="0" w:lastRow="0" w:firstColumn="0" w:lastColumn="0" w:oddVBand="0" w:evenVBand="0" w:oddHBand="1" w:evenHBand="0" w:firstRowFirstColumn="0" w:firstRowLastColumn="0" w:lastRowFirstColumn="0" w:lastRowLastColumn="0"/>
              <w:rPr>
                <w:bCs/>
                <w:color w:val="000000" w:themeColor="text1"/>
                <w:sz w:val="21"/>
                <w:szCs w:val="21"/>
              </w:rPr>
            </w:pPr>
            <w:r>
              <w:rPr>
                <w:bCs/>
                <w:color w:val="000000" w:themeColor="text1"/>
                <w:sz w:val="21"/>
                <w:szCs w:val="21"/>
              </w:rPr>
              <w:t>Update TSGAC briefing paper on key findings.</w:t>
            </w:r>
          </w:p>
        </w:tc>
        <w:tc>
          <w:tcPr>
            <w:tcW w:w="3865" w:type="dxa"/>
          </w:tcPr>
          <w:p w14:paraId="7B944AEC" w14:textId="77777777" w:rsidR="00C24E2D" w:rsidRDefault="003E4F6A" w:rsidP="001E21D9">
            <w:pPr>
              <w:pStyle w:val="ListParagraph"/>
              <w:numPr>
                <w:ilvl w:val="0"/>
                <w:numId w:val="8"/>
              </w:numPr>
              <w:ind w:left="254" w:hanging="270"/>
              <w:cnfStyle w:val="000000100000" w:firstRow="0" w:lastRow="0" w:firstColumn="0" w:lastColumn="0" w:oddVBand="0" w:evenVBand="0" w:oddHBand="1" w:evenHBand="0" w:firstRowFirstColumn="0" w:firstRowLastColumn="0" w:lastRowFirstColumn="0" w:lastRowLastColumn="0"/>
              <w:rPr>
                <w:sz w:val="21"/>
                <w:szCs w:val="21"/>
              </w:rPr>
            </w:pPr>
            <w:r>
              <w:rPr>
                <w:sz w:val="21"/>
                <w:szCs w:val="21"/>
              </w:rPr>
              <w:t>TTAG Policy Subcommittee recommended change to Q&amp;A for households consisting of AI/ANs and non-AI/AN family members.  CCIIO made the requested changes.</w:t>
            </w:r>
          </w:p>
          <w:p w14:paraId="030B3B26" w14:textId="77777777" w:rsidR="00C24E2D" w:rsidRDefault="003E4F6A" w:rsidP="001E21D9">
            <w:pPr>
              <w:pStyle w:val="ListParagraph"/>
              <w:numPr>
                <w:ilvl w:val="0"/>
                <w:numId w:val="8"/>
              </w:numPr>
              <w:ind w:left="254" w:hanging="270"/>
              <w:cnfStyle w:val="000000100000" w:firstRow="0" w:lastRow="0" w:firstColumn="0" w:lastColumn="0" w:oddVBand="0" w:evenVBand="0" w:oddHBand="1" w:evenHBand="0" w:firstRowFirstColumn="0" w:firstRowLastColumn="0" w:lastRowFirstColumn="0" w:lastRowLastColumn="0"/>
              <w:rPr>
                <w:bCs/>
                <w:sz w:val="21"/>
                <w:szCs w:val="21"/>
              </w:rPr>
            </w:pPr>
            <w:r>
              <w:rPr>
                <w:bCs/>
                <w:sz w:val="21"/>
                <w:szCs w:val="21"/>
              </w:rPr>
              <w:t xml:space="preserve">11/10/2020: Texas v. U.S hearing before the Supreme Court </w:t>
            </w:r>
          </w:p>
          <w:p w14:paraId="60E8CB23" w14:textId="77777777" w:rsidR="00C24E2D" w:rsidRDefault="00C24E2D">
            <w:pPr>
              <w:pStyle w:val="ListParagraph"/>
              <w:ind w:left="254"/>
              <w:cnfStyle w:val="000000100000" w:firstRow="0" w:lastRow="0" w:firstColumn="0" w:lastColumn="0" w:oddVBand="0" w:evenVBand="0" w:oddHBand="1" w:evenHBand="0" w:firstRowFirstColumn="0" w:firstRowLastColumn="0" w:lastRowFirstColumn="0" w:lastRowLastColumn="0"/>
              <w:rPr>
                <w:b/>
                <w:bCs/>
                <w:sz w:val="21"/>
                <w:szCs w:val="21"/>
              </w:rPr>
            </w:pPr>
          </w:p>
          <w:p w14:paraId="5DC5EF9B" w14:textId="77777777" w:rsidR="00C24E2D" w:rsidRDefault="00C24E2D">
            <w:pPr>
              <w:cnfStyle w:val="000000100000" w:firstRow="0" w:lastRow="0" w:firstColumn="0" w:lastColumn="0" w:oddVBand="0" w:evenVBand="0" w:oddHBand="1" w:evenHBand="0" w:firstRowFirstColumn="0" w:firstRowLastColumn="0" w:lastRowFirstColumn="0" w:lastRowLastColumn="0"/>
              <w:rPr>
                <w:b/>
                <w:bCs/>
                <w:sz w:val="21"/>
                <w:szCs w:val="21"/>
              </w:rPr>
            </w:pPr>
          </w:p>
        </w:tc>
      </w:tr>
      <w:tr w:rsidR="00C24E2D" w14:paraId="307B21E9" w14:textId="77777777" w:rsidTr="00990B04">
        <w:trPr>
          <w:cantSplit/>
          <w:trHeight w:val="391"/>
        </w:trPr>
        <w:tc>
          <w:tcPr>
            <w:cnfStyle w:val="001000000000" w:firstRow="0" w:lastRow="0" w:firstColumn="1" w:lastColumn="0" w:oddVBand="0" w:evenVBand="0" w:oddHBand="0" w:evenHBand="0" w:firstRowFirstColumn="0" w:firstRowLastColumn="0" w:lastRowFirstColumn="0" w:lastRowLastColumn="0"/>
            <w:tcW w:w="2250" w:type="dxa"/>
          </w:tcPr>
          <w:p w14:paraId="68FDE090" w14:textId="77777777" w:rsidR="00C24E2D" w:rsidRDefault="003E4F6A">
            <w:pPr>
              <w:rPr>
                <w:b w:val="0"/>
                <w:bCs w:val="0"/>
                <w:sz w:val="22"/>
                <w:szCs w:val="22"/>
              </w:rPr>
            </w:pPr>
            <w:r>
              <w:rPr>
                <w:sz w:val="22"/>
                <w:szCs w:val="22"/>
              </w:rPr>
              <w:t>VA Reimbursement/ VA-THP Contracts</w:t>
            </w:r>
          </w:p>
          <w:p w14:paraId="6E9CEEE5" w14:textId="77777777" w:rsidR="00C24E2D" w:rsidRDefault="003E4F6A">
            <w:pPr>
              <w:rPr>
                <w:sz w:val="22"/>
                <w:szCs w:val="22"/>
              </w:rPr>
            </w:pPr>
            <w:proofErr w:type="gramStart"/>
            <w:r>
              <w:rPr>
                <w:b w:val="0"/>
                <w:bCs w:val="0"/>
                <w:i/>
                <w:iCs/>
                <w:sz w:val="22"/>
                <w:szCs w:val="22"/>
              </w:rPr>
              <w:t>IHS,VA</w:t>
            </w:r>
            <w:proofErr w:type="gramEnd"/>
          </w:p>
        </w:tc>
        <w:tc>
          <w:tcPr>
            <w:tcW w:w="3420" w:type="dxa"/>
            <w:gridSpan w:val="2"/>
          </w:tcPr>
          <w:p w14:paraId="1585A754" w14:textId="77777777" w:rsidR="00C24E2D" w:rsidRDefault="003E4F6A">
            <w:pPr>
              <w:cnfStyle w:val="000000000000" w:firstRow="0" w:lastRow="0" w:firstColumn="0" w:lastColumn="0" w:oddVBand="0" w:evenVBand="0" w:oddHBand="0" w:evenHBand="0" w:firstRowFirstColumn="0" w:firstRowLastColumn="0" w:lastRowFirstColumn="0" w:lastRowLastColumn="0"/>
              <w:rPr>
                <w:sz w:val="21"/>
                <w:szCs w:val="21"/>
              </w:rPr>
            </w:pPr>
            <w:r>
              <w:rPr>
                <w:b/>
                <w:i/>
                <w:sz w:val="21"/>
                <w:szCs w:val="21"/>
              </w:rPr>
              <w:t>Issues</w:t>
            </w:r>
            <w:r>
              <w:rPr>
                <w:sz w:val="21"/>
                <w:szCs w:val="21"/>
              </w:rPr>
              <w:t xml:space="preserve">: </w:t>
            </w:r>
          </w:p>
          <w:p w14:paraId="4370F6CA" w14:textId="77777777" w:rsidR="00C24E2D" w:rsidRDefault="003E4F6A" w:rsidP="001E21D9">
            <w:pPr>
              <w:pStyle w:val="ListParagraph"/>
              <w:numPr>
                <w:ilvl w:val="0"/>
                <w:numId w:val="21"/>
              </w:numPr>
              <w:ind w:left="347"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VA and IHS amended the national Reimbursement Agreement:</w:t>
            </w:r>
          </w:p>
          <w:p w14:paraId="5FB882D7" w14:textId="77777777" w:rsidR="00C24E2D" w:rsidRDefault="003E4F6A">
            <w:pPr>
              <w:pStyle w:val="ListParagraph"/>
              <w:numPr>
                <w:ilvl w:val="0"/>
                <w:numId w:val="5"/>
              </w:numPr>
              <w:ind w:left="437"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Includes telehealth as “direct care services”;</w:t>
            </w:r>
          </w:p>
          <w:p w14:paraId="44805BAE" w14:textId="77777777" w:rsidR="00C24E2D" w:rsidRDefault="003E4F6A">
            <w:pPr>
              <w:pStyle w:val="ListParagraph"/>
              <w:numPr>
                <w:ilvl w:val="0"/>
                <w:numId w:val="5"/>
              </w:numPr>
              <w:ind w:left="347"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Extension of agreement until June 30, 2024;</w:t>
            </w:r>
          </w:p>
          <w:p w14:paraId="0B49F96E" w14:textId="77777777" w:rsidR="00C24E2D" w:rsidRDefault="003E4F6A">
            <w:pPr>
              <w:pStyle w:val="ListParagraph"/>
              <w:numPr>
                <w:ilvl w:val="0"/>
                <w:numId w:val="5"/>
              </w:numPr>
              <w:ind w:left="248" w:hanging="18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Clarifies language in quality section for certification and accreditation requirements; and</w:t>
            </w:r>
          </w:p>
          <w:p w14:paraId="2FF2B4EC" w14:textId="135079FE" w:rsidR="00C24E2D" w:rsidRDefault="00C95034">
            <w:pPr>
              <w:pStyle w:val="ListParagraph"/>
              <w:numPr>
                <w:ilvl w:val="0"/>
                <w:numId w:val="5"/>
              </w:numPr>
              <w:ind w:left="248" w:hanging="180"/>
              <w:cnfStyle w:val="000000000000" w:firstRow="0" w:lastRow="0" w:firstColumn="0" w:lastColumn="0" w:oddVBand="0" w:evenVBand="0" w:oddHBand="0" w:evenHBand="0" w:firstRowFirstColumn="0" w:firstRowLastColumn="0" w:lastRowFirstColumn="0" w:lastRowLastColumn="0"/>
              <w:rPr>
                <w:sz w:val="21"/>
                <w:szCs w:val="21"/>
              </w:rPr>
            </w:pPr>
            <w:r>
              <w:rPr>
                <w:bCs/>
                <w:sz w:val="21"/>
                <w:szCs w:val="21"/>
              </w:rPr>
              <w:t>A</w:t>
            </w:r>
            <w:r w:rsidR="003E4F6A">
              <w:rPr>
                <w:bCs/>
                <w:sz w:val="21"/>
                <w:szCs w:val="21"/>
              </w:rPr>
              <w:t xml:space="preserve">dds new section for reimbursement for care provided by IHS through PRC program </w:t>
            </w:r>
            <w:r w:rsidR="003E4F6A">
              <w:rPr>
                <w:bCs/>
                <w:sz w:val="21"/>
                <w:szCs w:val="21"/>
              </w:rPr>
              <w:lastRenderedPageBreak/>
              <w:t>during COVID-19 emergency (need to make this permanent).</w:t>
            </w:r>
          </w:p>
          <w:p w14:paraId="0D1391E9" w14:textId="77777777" w:rsidR="00C24E2D" w:rsidRDefault="003E4F6A" w:rsidP="001E21D9">
            <w:pPr>
              <w:pStyle w:val="ListParagraph"/>
              <w:numPr>
                <w:ilvl w:val="0"/>
                <w:numId w:val="21"/>
              </w:numPr>
              <w:ind w:left="347"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Reimbursement from VA for PRC Services</w:t>
            </w:r>
          </w:p>
          <w:p w14:paraId="42D158C2" w14:textId="77777777" w:rsidR="00C24E2D" w:rsidRDefault="003E4F6A" w:rsidP="001E21D9">
            <w:pPr>
              <w:pStyle w:val="ListParagraph"/>
              <w:numPr>
                <w:ilvl w:val="0"/>
                <w:numId w:val="21"/>
              </w:numPr>
              <w:ind w:left="347"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Elimination of co-pays for AI/AN Veterans</w:t>
            </w:r>
          </w:p>
          <w:p w14:paraId="7446DE65" w14:textId="77777777" w:rsidR="00C24E2D" w:rsidRDefault="003E4F6A" w:rsidP="001E21D9">
            <w:pPr>
              <w:pStyle w:val="ListParagraph"/>
              <w:numPr>
                <w:ilvl w:val="0"/>
                <w:numId w:val="21"/>
              </w:numPr>
              <w:ind w:left="347"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Transparency and enhancement of Tribal Health Program reimbursement agreements.</w:t>
            </w:r>
          </w:p>
          <w:p w14:paraId="5DCEB350" w14:textId="77777777" w:rsidR="00C24E2D" w:rsidRDefault="003E4F6A" w:rsidP="001E21D9">
            <w:pPr>
              <w:pStyle w:val="ListParagraph"/>
              <w:numPr>
                <w:ilvl w:val="0"/>
                <w:numId w:val="21"/>
              </w:numPr>
              <w:ind w:left="347"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Development and implementation of the VA Tribal Advisory Committee.</w:t>
            </w:r>
          </w:p>
        </w:tc>
        <w:tc>
          <w:tcPr>
            <w:tcW w:w="3600" w:type="dxa"/>
          </w:tcPr>
          <w:p w14:paraId="5DC1F02F" w14:textId="77777777" w:rsidR="00C24E2D" w:rsidRDefault="001E21D9">
            <w:pPr>
              <w:cnfStyle w:val="000000000000" w:firstRow="0" w:lastRow="0" w:firstColumn="0" w:lastColumn="0" w:oddVBand="0" w:evenVBand="0" w:oddHBand="0" w:evenHBand="0" w:firstRowFirstColumn="0" w:firstRowLastColumn="0" w:lastRowFirstColumn="0" w:lastRowLastColumn="0"/>
              <w:rPr>
                <w:b/>
                <w:sz w:val="21"/>
                <w:szCs w:val="21"/>
              </w:rPr>
            </w:pPr>
            <w:hyperlink r:id="rId31" w:history="1">
              <w:r w:rsidR="003E4F6A">
                <w:rPr>
                  <w:rStyle w:val="Hyperlink"/>
                  <w:b/>
                  <w:sz w:val="21"/>
                  <w:szCs w:val="21"/>
                </w:rPr>
                <w:t>IHS &amp; VA draft final MOU</w:t>
              </w:r>
            </w:hyperlink>
          </w:p>
          <w:p w14:paraId="74281908" w14:textId="77777777" w:rsidR="00C24E2D" w:rsidRDefault="00C24E2D">
            <w:pPr>
              <w:cnfStyle w:val="000000000000" w:firstRow="0" w:lastRow="0" w:firstColumn="0" w:lastColumn="0" w:oddVBand="0" w:evenVBand="0" w:oddHBand="0" w:evenHBand="0" w:firstRowFirstColumn="0" w:firstRowLastColumn="0" w:lastRowFirstColumn="0" w:lastRowLastColumn="0"/>
              <w:rPr>
                <w:b/>
                <w:bCs/>
                <w:sz w:val="21"/>
                <w:szCs w:val="21"/>
              </w:rPr>
            </w:pPr>
          </w:p>
          <w:p w14:paraId="41553F91" w14:textId="77777777" w:rsidR="00C24E2D" w:rsidRDefault="001E21D9">
            <w:pPr>
              <w:cnfStyle w:val="000000000000" w:firstRow="0" w:lastRow="0" w:firstColumn="0" w:lastColumn="0" w:oddVBand="0" w:evenVBand="0" w:oddHBand="0" w:evenHBand="0" w:firstRowFirstColumn="0" w:firstRowLastColumn="0" w:lastRowFirstColumn="0" w:lastRowLastColumn="0"/>
              <w:rPr>
                <w:b/>
                <w:bCs/>
                <w:sz w:val="21"/>
                <w:szCs w:val="21"/>
              </w:rPr>
            </w:pPr>
            <w:hyperlink r:id="rId32" w:history="1">
              <w:r w:rsidR="003E4F6A">
                <w:rPr>
                  <w:rStyle w:val="Hyperlink"/>
                  <w:b/>
                  <w:bCs/>
                  <w:sz w:val="21"/>
                  <w:szCs w:val="21"/>
                </w:rPr>
                <w:t>VA DTLL (Dec. 2)</w:t>
              </w:r>
            </w:hyperlink>
          </w:p>
          <w:p w14:paraId="7E747AA9" w14:textId="77777777" w:rsidR="00C24E2D" w:rsidRDefault="00C24E2D">
            <w:pPr>
              <w:cnfStyle w:val="000000000000" w:firstRow="0" w:lastRow="0" w:firstColumn="0" w:lastColumn="0" w:oddVBand="0" w:evenVBand="0" w:oddHBand="0" w:evenHBand="0" w:firstRowFirstColumn="0" w:firstRowLastColumn="0" w:lastRowFirstColumn="0" w:lastRowLastColumn="0"/>
              <w:rPr>
                <w:rStyle w:val="Hyperlink"/>
                <w:b/>
                <w:bCs/>
                <w:sz w:val="21"/>
                <w:szCs w:val="21"/>
              </w:rPr>
            </w:pPr>
          </w:p>
          <w:p w14:paraId="55928F31" w14:textId="77777777" w:rsidR="00C24E2D" w:rsidRDefault="003E4F6A" w:rsidP="001E21D9">
            <w:pPr>
              <w:pStyle w:val="ListParagraph"/>
              <w:numPr>
                <w:ilvl w:val="0"/>
                <w:numId w:val="22"/>
              </w:numPr>
              <w:ind w:left="254" w:hanging="270"/>
              <w:cnfStyle w:val="000000000000" w:firstRow="0" w:lastRow="0" w:firstColumn="0" w:lastColumn="0" w:oddVBand="0" w:evenVBand="0" w:oddHBand="0" w:evenHBand="0" w:firstRowFirstColumn="0" w:firstRowLastColumn="0" w:lastRowFirstColumn="0" w:lastRowLastColumn="0"/>
              <w:rPr>
                <w:rStyle w:val="Hyperlink"/>
                <w:bCs/>
                <w:color w:val="000000" w:themeColor="text1"/>
                <w:sz w:val="21"/>
                <w:szCs w:val="21"/>
                <w:u w:val="none"/>
              </w:rPr>
            </w:pPr>
            <w:r>
              <w:rPr>
                <w:rStyle w:val="Hyperlink"/>
                <w:bCs/>
                <w:color w:val="000000" w:themeColor="text1"/>
                <w:sz w:val="21"/>
                <w:szCs w:val="21"/>
                <w:u w:val="none"/>
              </w:rPr>
              <w:t xml:space="preserve">12/24/2020: </w:t>
            </w:r>
            <w:hyperlink r:id="rId33" w:history="1">
              <w:r>
                <w:rPr>
                  <w:rStyle w:val="Hyperlink"/>
                  <w:b/>
                  <w:bCs/>
                  <w:sz w:val="21"/>
                  <w:szCs w:val="21"/>
                </w:rPr>
                <w:t>3 Native Veteran Health laws were passed within H.R. 7105</w:t>
              </w:r>
            </w:hyperlink>
            <w:r>
              <w:rPr>
                <w:rStyle w:val="Hyperlink"/>
                <w:b/>
                <w:bCs/>
                <w:color w:val="000000" w:themeColor="text1"/>
                <w:sz w:val="21"/>
                <w:szCs w:val="21"/>
              </w:rPr>
              <w:t>:</w:t>
            </w:r>
          </w:p>
          <w:p w14:paraId="728C36EB" w14:textId="77777777" w:rsidR="00C24E2D" w:rsidRDefault="003E4F6A" w:rsidP="001E21D9">
            <w:pPr>
              <w:pStyle w:val="ListParagraph"/>
              <w:numPr>
                <w:ilvl w:val="0"/>
                <w:numId w:val="23"/>
              </w:numPr>
              <w:ind w:left="614" w:hanging="270"/>
              <w:cnfStyle w:val="000000000000" w:firstRow="0" w:lastRow="0" w:firstColumn="0" w:lastColumn="0" w:oddVBand="0" w:evenVBand="0" w:oddHBand="0" w:evenHBand="0" w:firstRowFirstColumn="0" w:firstRowLastColumn="0" w:lastRowFirstColumn="0" w:lastRowLastColumn="0"/>
              <w:rPr>
                <w:rStyle w:val="Hyperlink"/>
                <w:bCs/>
                <w:color w:val="000000" w:themeColor="text1"/>
                <w:sz w:val="21"/>
                <w:szCs w:val="21"/>
                <w:u w:val="none"/>
              </w:rPr>
            </w:pPr>
            <w:r>
              <w:rPr>
                <w:rStyle w:val="Hyperlink"/>
                <w:bCs/>
                <w:color w:val="000000" w:themeColor="text1"/>
                <w:sz w:val="21"/>
                <w:szCs w:val="21"/>
                <w:u w:val="none"/>
              </w:rPr>
              <w:t>Native American Veterans PACT Act eliminates copayments for AI/AN Veterans accessing VA healthcare;</w:t>
            </w:r>
          </w:p>
          <w:p w14:paraId="0823D9B3" w14:textId="77777777" w:rsidR="00C24E2D" w:rsidRDefault="003E4F6A" w:rsidP="001E21D9">
            <w:pPr>
              <w:pStyle w:val="ListParagraph"/>
              <w:numPr>
                <w:ilvl w:val="0"/>
                <w:numId w:val="23"/>
              </w:numPr>
              <w:ind w:left="614" w:hanging="270"/>
              <w:cnfStyle w:val="000000000000" w:firstRow="0" w:lastRow="0" w:firstColumn="0" w:lastColumn="0" w:oddVBand="0" w:evenVBand="0" w:oddHBand="0" w:evenHBand="0" w:firstRowFirstColumn="0" w:firstRowLastColumn="0" w:lastRowFirstColumn="0" w:lastRowLastColumn="0"/>
              <w:rPr>
                <w:rStyle w:val="Hyperlink"/>
                <w:bCs/>
                <w:color w:val="000000" w:themeColor="text1"/>
                <w:sz w:val="21"/>
                <w:szCs w:val="21"/>
                <w:u w:val="none"/>
              </w:rPr>
            </w:pPr>
            <w:r>
              <w:rPr>
                <w:rStyle w:val="Hyperlink"/>
                <w:bCs/>
                <w:color w:val="000000" w:themeColor="text1"/>
                <w:sz w:val="21"/>
                <w:szCs w:val="21"/>
                <w:u w:val="none"/>
              </w:rPr>
              <w:t xml:space="preserve">PRC for Native Veterans Act clarifies reimbursement from VA and DOD for healthcare services provided to AI/AN </w:t>
            </w:r>
            <w:r>
              <w:rPr>
                <w:rStyle w:val="Hyperlink"/>
                <w:bCs/>
                <w:color w:val="000000" w:themeColor="text1"/>
                <w:sz w:val="21"/>
                <w:szCs w:val="21"/>
                <w:u w:val="none"/>
              </w:rPr>
              <w:lastRenderedPageBreak/>
              <w:t>Veterans through an authorized referral; and</w:t>
            </w:r>
          </w:p>
          <w:p w14:paraId="6263531C" w14:textId="77777777" w:rsidR="00C24E2D" w:rsidRDefault="003E4F6A" w:rsidP="001E21D9">
            <w:pPr>
              <w:pStyle w:val="ListParagraph"/>
              <w:numPr>
                <w:ilvl w:val="0"/>
                <w:numId w:val="23"/>
              </w:numPr>
              <w:ind w:left="614" w:hanging="270"/>
              <w:cnfStyle w:val="000000000000" w:firstRow="0" w:lastRow="0" w:firstColumn="0" w:lastColumn="0" w:oddVBand="0" w:evenVBand="0" w:oddHBand="0" w:evenHBand="0" w:firstRowFirstColumn="0" w:firstRowLastColumn="0" w:lastRowFirstColumn="0" w:lastRowLastColumn="0"/>
              <w:rPr>
                <w:rStyle w:val="Hyperlink"/>
                <w:bCs/>
                <w:color w:val="000000" w:themeColor="text1"/>
                <w:sz w:val="21"/>
                <w:szCs w:val="21"/>
                <w:u w:val="none"/>
              </w:rPr>
            </w:pPr>
            <w:r>
              <w:rPr>
                <w:rStyle w:val="Hyperlink"/>
                <w:bCs/>
                <w:color w:val="000000" w:themeColor="text1"/>
                <w:sz w:val="21"/>
                <w:szCs w:val="21"/>
                <w:u w:val="none"/>
              </w:rPr>
              <w:t>Veterans Affairs Tribal Advisory Committee Act of 2019.</w:t>
            </w:r>
          </w:p>
          <w:p w14:paraId="17784406" w14:textId="77777777" w:rsidR="00C24E2D" w:rsidRDefault="00C24E2D">
            <w:pPr>
              <w:pStyle w:val="ListParagraph"/>
              <w:ind w:left="614"/>
              <w:cnfStyle w:val="000000000000" w:firstRow="0" w:lastRow="0" w:firstColumn="0" w:lastColumn="0" w:oddVBand="0" w:evenVBand="0" w:oddHBand="0" w:evenHBand="0" w:firstRowFirstColumn="0" w:firstRowLastColumn="0" w:lastRowFirstColumn="0" w:lastRowLastColumn="0"/>
              <w:rPr>
                <w:rStyle w:val="Hyperlink"/>
                <w:bCs/>
                <w:color w:val="000000" w:themeColor="text1"/>
                <w:sz w:val="21"/>
                <w:szCs w:val="21"/>
                <w:u w:val="none"/>
              </w:rPr>
            </w:pPr>
          </w:p>
          <w:p w14:paraId="7BD64E67" w14:textId="77777777" w:rsidR="00C24E2D" w:rsidRDefault="003E4F6A">
            <w:pPr>
              <w:cnfStyle w:val="000000000000" w:firstRow="0" w:lastRow="0" w:firstColumn="0" w:lastColumn="0" w:oddVBand="0" w:evenVBand="0" w:oddHBand="0" w:evenHBand="0" w:firstRowFirstColumn="0" w:firstRowLastColumn="0" w:lastRowFirstColumn="0" w:lastRowLastColumn="0"/>
              <w:rPr>
                <w:color w:val="000000" w:themeColor="text1"/>
                <w:sz w:val="21"/>
                <w:szCs w:val="21"/>
              </w:rPr>
            </w:pPr>
            <w:r>
              <w:rPr>
                <w:b/>
                <w:bCs/>
                <w:color w:val="C00000"/>
                <w:sz w:val="21"/>
                <w:szCs w:val="21"/>
              </w:rPr>
              <w:t xml:space="preserve">FOLLOW-UP: </w:t>
            </w:r>
            <w:r>
              <w:rPr>
                <w:bCs/>
                <w:color w:val="000000" w:themeColor="text1"/>
                <w:sz w:val="21"/>
                <w:szCs w:val="21"/>
              </w:rPr>
              <w:t xml:space="preserve">Submit comments on the IHS and VA Draft Revised MOU, which are due </w:t>
            </w:r>
            <w:r>
              <w:rPr>
                <w:b/>
                <w:bCs/>
                <w:color w:val="000000" w:themeColor="text1"/>
                <w:sz w:val="21"/>
                <w:szCs w:val="21"/>
              </w:rPr>
              <w:t>3/2/2021</w:t>
            </w:r>
            <w:r>
              <w:rPr>
                <w:bCs/>
                <w:color w:val="000000" w:themeColor="text1"/>
                <w:sz w:val="21"/>
                <w:szCs w:val="21"/>
              </w:rPr>
              <w:t>.</w:t>
            </w:r>
            <w:r>
              <w:rPr>
                <w:b/>
                <w:bCs/>
                <w:color w:val="000000" w:themeColor="text1"/>
                <w:sz w:val="21"/>
                <w:szCs w:val="21"/>
              </w:rPr>
              <w:t xml:space="preserve"> </w:t>
            </w:r>
          </w:p>
        </w:tc>
        <w:tc>
          <w:tcPr>
            <w:tcW w:w="3865" w:type="dxa"/>
          </w:tcPr>
          <w:p w14:paraId="678AB668" w14:textId="77777777" w:rsidR="00C24E2D" w:rsidRDefault="003E4F6A">
            <w:pPr>
              <w:pStyle w:val="ListParagraph"/>
              <w:numPr>
                <w:ilvl w:val="0"/>
                <w:numId w:val="6"/>
              </w:numPr>
              <w:ind w:left="254" w:hanging="270"/>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lastRenderedPageBreak/>
              <w:t xml:space="preserve">VA reports that 116 Tribal Health Programs have individual reimbursement agreements with the VA/VHA. </w:t>
            </w:r>
            <w:r>
              <w:rPr>
                <w:color w:val="000000" w:themeColor="text1"/>
                <w:sz w:val="21"/>
                <w:szCs w:val="21"/>
              </w:rPr>
              <w:t xml:space="preserve"> The agreements vary immensely.</w:t>
            </w:r>
          </w:p>
          <w:p w14:paraId="4F84B0B0" w14:textId="77777777" w:rsidR="00C24E2D" w:rsidRDefault="00C24E2D">
            <w:pPr>
              <w:cnfStyle w:val="000000000000" w:firstRow="0" w:lastRow="0" w:firstColumn="0" w:lastColumn="0" w:oddVBand="0" w:evenVBand="0" w:oddHBand="0" w:evenHBand="0" w:firstRowFirstColumn="0" w:firstRowLastColumn="0" w:lastRowFirstColumn="0" w:lastRowLastColumn="0"/>
              <w:rPr>
                <w:sz w:val="21"/>
                <w:szCs w:val="21"/>
              </w:rPr>
            </w:pPr>
          </w:p>
        </w:tc>
      </w:tr>
    </w:tbl>
    <w:p w14:paraId="7ED0B68A" w14:textId="77777777" w:rsidR="00C24E2D" w:rsidRDefault="00C24E2D">
      <w:pPr>
        <w:jc w:val="center"/>
        <w:rPr>
          <w:b/>
          <w:bCs/>
          <w:u w:val="single"/>
        </w:rPr>
      </w:pPr>
      <w:bookmarkStart w:id="0" w:name="_GoBack"/>
      <w:bookmarkEnd w:id="0"/>
    </w:p>
    <w:p w14:paraId="27F7D69A" w14:textId="77777777" w:rsidR="00C24E2D" w:rsidRDefault="00C24E2D">
      <w:pPr>
        <w:jc w:val="center"/>
        <w:rPr>
          <w:b/>
          <w:bCs/>
          <w:u w:val="single"/>
        </w:rPr>
      </w:pPr>
    </w:p>
    <w:p w14:paraId="69F09F32" w14:textId="77777777" w:rsidR="00C24E2D" w:rsidRDefault="00C24E2D">
      <w:pPr>
        <w:jc w:val="center"/>
        <w:rPr>
          <w:b/>
          <w:bCs/>
          <w:u w:val="single"/>
        </w:rPr>
      </w:pPr>
    </w:p>
    <w:p w14:paraId="4F18256B" w14:textId="77777777" w:rsidR="00C24E2D" w:rsidRDefault="00C24E2D"/>
    <w:sectPr w:rsidR="00C24E2D" w:rsidSect="00990B04">
      <w:headerReference w:type="default" r:id="rId34"/>
      <w:footerReference w:type="even" r:id="rId35"/>
      <w:headerReference w:type="first" r:id="rId36"/>
      <w:pgSz w:w="15840" w:h="12240" w:orient="landscape"/>
      <w:pgMar w:top="1008" w:right="1008" w:bottom="720" w:left="1008" w:header="14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C0780" w14:textId="77777777" w:rsidR="001E21D9" w:rsidRDefault="001E21D9">
      <w:r>
        <w:separator/>
      </w:r>
    </w:p>
  </w:endnote>
  <w:endnote w:type="continuationSeparator" w:id="0">
    <w:p w14:paraId="349E85A4" w14:textId="77777777" w:rsidR="001E21D9" w:rsidRDefault="001E2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67381216"/>
      <w:docPartObj>
        <w:docPartGallery w:val="Page Numbers (Bottom of Page)"/>
        <w:docPartUnique/>
      </w:docPartObj>
    </w:sdtPr>
    <w:sdtEndPr>
      <w:rPr>
        <w:rStyle w:val="PageNumber"/>
      </w:rPr>
    </w:sdtEndPr>
    <w:sdtContent>
      <w:p w14:paraId="3A1847DD" w14:textId="77777777" w:rsidR="00C24E2D" w:rsidRDefault="003E4F6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089B017" w14:textId="77777777" w:rsidR="00C24E2D" w:rsidRDefault="00C2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7367E" w14:textId="77777777" w:rsidR="001E21D9" w:rsidRDefault="001E21D9">
      <w:r>
        <w:separator/>
      </w:r>
    </w:p>
  </w:footnote>
  <w:footnote w:type="continuationSeparator" w:id="0">
    <w:p w14:paraId="640EBE34" w14:textId="77777777" w:rsidR="001E21D9" w:rsidRDefault="001E21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b/>
        <w:bCs/>
      </w:rPr>
      <w:id w:val="-578518275"/>
      <w:docPartObj>
        <w:docPartGallery w:val="Page Numbers (Bottom of Page)"/>
        <w:docPartUnique/>
      </w:docPartObj>
    </w:sdtPr>
    <w:sdtEndPr>
      <w:rPr>
        <w:rStyle w:val="PageNumber"/>
      </w:rPr>
    </w:sdtEndPr>
    <w:sdtContent>
      <w:p w14:paraId="47340899" w14:textId="46638450" w:rsidR="00C24E2D" w:rsidRDefault="003E4F6A" w:rsidP="008E7D1F">
        <w:pPr>
          <w:pStyle w:val="Footer"/>
          <w:framePr w:wrap="none" w:vAnchor="text" w:hAnchor="page" w:x="4249" w:y="37"/>
          <w:rPr>
            <w:rStyle w:val="PageNumber"/>
            <w:b/>
            <w:bCs/>
          </w:rPr>
        </w:pPr>
        <w:r>
          <w:rPr>
            <w:rStyle w:val="PageNumber"/>
            <w:b/>
            <w:bCs/>
          </w:rPr>
          <w:tab/>
          <w:t>(2/1</w:t>
        </w:r>
        <w:r w:rsidR="001D5D40">
          <w:rPr>
            <w:rStyle w:val="PageNumber"/>
            <w:b/>
            <w:bCs/>
          </w:rPr>
          <w:t>7</w:t>
        </w:r>
        <w:r>
          <w:rPr>
            <w:rStyle w:val="PageNumber"/>
            <w:b/>
            <w:bCs/>
          </w:rPr>
          <w:t>/2021)</w:t>
        </w:r>
        <w:r>
          <w:rPr>
            <w:rStyle w:val="PageNumber"/>
            <w:b/>
            <w:bCs/>
          </w:rPr>
          <w:tab/>
          <w:t xml:space="preserve">Page </w:t>
        </w:r>
        <w:r>
          <w:rPr>
            <w:rStyle w:val="PageNumber"/>
            <w:b/>
            <w:bCs/>
          </w:rPr>
          <w:fldChar w:fldCharType="begin"/>
        </w:r>
        <w:r>
          <w:rPr>
            <w:rStyle w:val="PageNumber"/>
            <w:b/>
            <w:bCs/>
          </w:rPr>
          <w:instrText xml:space="preserve"> PAGE   \* MERGEFORMAT </w:instrText>
        </w:r>
        <w:r>
          <w:rPr>
            <w:rStyle w:val="PageNumber"/>
            <w:b/>
            <w:bCs/>
          </w:rPr>
          <w:fldChar w:fldCharType="separate"/>
        </w:r>
        <w:r>
          <w:rPr>
            <w:rStyle w:val="PageNumber"/>
            <w:b/>
            <w:bCs/>
            <w:noProof/>
          </w:rPr>
          <w:t>10</w:t>
        </w:r>
        <w:r>
          <w:rPr>
            <w:rStyle w:val="PageNumber"/>
            <w:b/>
            <w:bCs/>
            <w:noProof/>
          </w:rPr>
          <w:fldChar w:fldCharType="end"/>
        </w:r>
        <w:r w:rsidR="008E7D1F">
          <w:rPr>
            <w:rStyle w:val="PageNumber"/>
            <w:b/>
            <w:bCs/>
            <w:noProof/>
          </w:rPr>
          <w:t xml:space="preserve"> of 9</w:t>
        </w:r>
      </w:p>
    </w:sdtContent>
  </w:sdt>
  <w:p w14:paraId="323AA349" w14:textId="36694808" w:rsidR="00C24E2D" w:rsidRDefault="003E4F6A">
    <w:pPr>
      <w:rPr>
        <w:b/>
        <w:bCs/>
        <w:u w:val="single"/>
      </w:rPr>
    </w:pPr>
    <w:r>
      <w:rPr>
        <w:b/>
        <w:bCs/>
        <w:u w:val="single"/>
      </w:rPr>
      <w:t>TSGAC ACA/IHCIA Priority Issues</w:t>
    </w:r>
    <w:r w:rsidR="008E7D1F">
      <w:rPr>
        <w:b/>
        <w:bCs/>
        <w:u w:val="single"/>
      </w:rPr>
      <w:t xml:space="preserve"> </w:t>
    </w:r>
  </w:p>
  <w:p w14:paraId="0E96E8DC" w14:textId="77777777" w:rsidR="00C24E2D" w:rsidRDefault="00C24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1050C6" w14:textId="77777777" w:rsidR="00C24E2D" w:rsidRDefault="003E4F6A">
    <w:pPr>
      <w:pStyle w:val="Header"/>
      <w:jc w:val="center"/>
    </w:pPr>
    <w:r>
      <w:rPr>
        <w:noProof/>
      </w:rPr>
      <w:drawing>
        <wp:inline distT="0" distB="0" distL="0" distR="0" wp14:anchorId="027AB766" wp14:editId="38DA6F24">
          <wp:extent cx="3629464" cy="986084"/>
          <wp:effectExtent l="0" t="0" r="317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0185" cy="98899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E30C8"/>
    <w:multiLevelType w:val="hybridMultilevel"/>
    <w:tmpl w:val="42F89C2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F4917E6"/>
    <w:multiLevelType w:val="hybridMultilevel"/>
    <w:tmpl w:val="5380B744"/>
    <w:lvl w:ilvl="0" w:tplc="5EF0802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1E7A77"/>
    <w:multiLevelType w:val="hybridMultilevel"/>
    <w:tmpl w:val="270C7E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316694"/>
    <w:multiLevelType w:val="hybridMultilevel"/>
    <w:tmpl w:val="FF2AB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515A8A"/>
    <w:multiLevelType w:val="hybridMultilevel"/>
    <w:tmpl w:val="B0426DD0"/>
    <w:lvl w:ilvl="0" w:tplc="2396BEB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2A129F"/>
    <w:multiLevelType w:val="hybridMultilevel"/>
    <w:tmpl w:val="1F1AA1DE"/>
    <w:lvl w:ilvl="0" w:tplc="04090001">
      <w:start w:val="1"/>
      <w:numFmt w:val="bullet"/>
      <w:lvlText w:val=""/>
      <w:lvlJc w:val="left"/>
      <w:pPr>
        <w:ind w:left="729" w:hanging="360"/>
      </w:pPr>
      <w:rPr>
        <w:rFonts w:ascii="Symbol" w:hAnsi="Symbol" w:hint="default"/>
      </w:rPr>
    </w:lvl>
    <w:lvl w:ilvl="1" w:tplc="04090003" w:tentative="1">
      <w:start w:val="1"/>
      <w:numFmt w:val="bullet"/>
      <w:lvlText w:val="o"/>
      <w:lvlJc w:val="left"/>
      <w:pPr>
        <w:ind w:left="1449" w:hanging="360"/>
      </w:pPr>
      <w:rPr>
        <w:rFonts w:ascii="Courier New" w:hAnsi="Courier New" w:cs="Courier New" w:hint="default"/>
      </w:rPr>
    </w:lvl>
    <w:lvl w:ilvl="2" w:tplc="04090005" w:tentative="1">
      <w:start w:val="1"/>
      <w:numFmt w:val="bullet"/>
      <w:lvlText w:val=""/>
      <w:lvlJc w:val="left"/>
      <w:pPr>
        <w:ind w:left="2169" w:hanging="360"/>
      </w:pPr>
      <w:rPr>
        <w:rFonts w:ascii="Wingdings" w:hAnsi="Wingdings" w:hint="default"/>
      </w:rPr>
    </w:lvl>
    <w:lvl w:ilvl="3" w:tplc="04090001" w:tentative="1">
      <w:start w:val="1"/>
      <w:numFmt w:val="bullet"/>
      <w:lvlText w:val=""/>
      <w:lvlJc w:val="left"/>
      <w:pPr>
        <w:ind w:left="2889" w:hanging="360"/>
      </w:pPr>
      <w:rPr>
        <w:rFonts w:ascii="Symbol" w:hAnsi="Symbol" w:hint="default"/>
      </w:rPr>
    </w:lvl>
    <w:lvl w:ilvl="4" w:tplc="04090003" w:tentative="1">
      <w:start w:val="1"/>
      <w:numFmt w:val="bullet"/>
      <w:lvlText w:val="o"/>
      <w:lvlJc w:val="left"/>
      <w:pPr>
        <w:ind w:left="3609" w:hanging="360"/>
      </w:pPr>
      <w:rPr>
        <w:rFonts w:ascii="Courier New" w:hAnsi="Courier New" w:cs="Courier New" w:hint="default"/>
      </w:rPr>
    </w:lvl>
    <w:lvl w:ilvl="5" w:tplc="04090005" w:tentative="1">
      <w:start w:val="1"/>
      <w:numFmt w:val="bullet"/>
      <w:lvlText w:val=""/>
      <w:lvlJc w:val="left"/>
      <w:pPr>
        <w:ind w:left="4329" w:hanging="360"/>
      </w:pPr>
      <w:rPr>
        <w:rFonts w:ascii="Wingdings" w:hAnsi="Wingdings" w:hint="default"/>
      </w:rPr>
    </w:lvl>
    <w:lvl w:ilvl="6" w:tplc="04090001" w:tentative="1">
      <w:start w:val="1"/>
      <w:numFmt w:val="bullet"/>
      <w:lvlText w:val=""/>
      <w:lvlJc w:val="left"/>
      <w:pPr>
        <w:ind w:left="5049" w:hanging="360"/>
      </w:pPr>
      <w:rPr>
        <w:rFonts w:ascii="Symbol" w:hAnsi="Symbol" w:hint="default"/>
      </w:rPr>
    </w:lvl>
    <w:lvl w:ilvl="7" w:tplc="04090003" w:tentative="1">
      <w:start w:val="1"/>
      <w:numFmt w:val="bullet"/>
      <w:lvlText w:val="o"/>
      <w:lvlJc w:val="left"/>
      <w:pPr>
        <w:ind w:left="5769" w:hanging="360"/>
      </w:pPr>
      <w:rPr>
        <w:rFonts w:ascii="Courier New" w:hAnsi="Courier New" w:cs="Courier New" w:hint="default"/>
      </w:rPr>
    </w:lvl>
    <w:lvl w:ilvl="8" w:tplc="04090005" w:tentative="1">
      <w:start w:val="1"/>
      <w:numFmt w:val="bullet"/>
      <w:lvlText w:val=""/>
      <w:lvlJc w:val="left"/>
      <w:pPr>
        <w:ind w:left="6489" w:hanging="360"/>
      </w:pPr>
      <w:rPr>
        <w:rFonts w:ascii="Wingdings" w:hAnsi="Wingdings" w:hint="default"/>
      </w:rPr>
    </w:lvl>
  </w:abstractNum>
  <w:abstractNum w:abstractNumId="6" w15:restartNumberingAfterBreak="0">
    <w:nsid w:val="20FD3FB0"/>
    <w:multiLevelType w:val="hybridMultilevel"/>
    <w:tmpl w:val="0E2AC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328B3"/>
    <w:multiLevelType w:val="hybridMultilevel"/>
    <w:tmpl w:val="AA121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65273"/>
    <w:multiLevelType w:val="hybridMultilevel"/>
    <w:tmpl w:val="BA1C411C"/>
    <w:lvl w:ilvl="0" w:tplc="4774B1D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74579"/>
    <w:multiLevelType w:val="hybridMultilevel"/>
    <w:tmpl w:val="63949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F109E"/>
    <w:multiLevelType w:val="hybridMultilevel"/>
    <w:tmpl w:val="59EC2EA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5DF7A16"/>
    <w:multiLevelType w:val="hybridMultilevel"/>
    <w:tmpl w:val="88546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7B2F19"/>
    <w:multiLevelType w:val="hybridMultilevel"/>
    <w:tmpl w:val="39C24FEC"/>
    <w:lvl w:ilvl="0" w:tplc="A1CCBE1C">
      <w:start w:val="1"/>
      <w:numFmt w:val="bullet"/>
      <w:lvlText w:val="o"/>
      <w:lvlJc w:val="left"/>
      <w:pPr>
        <w:ind w:left="1074" w:hanging="360"/>
      </w:pPr>
      <w:rPr>
        <w:rFonts w:ascii="Courier New" w:hAnsi="Courier New" w:cs="Courier New" w:hint="default"/>
        <w:color w:val="000000" w:themeColor="text1"/>
      </w:rPr>
    </w:lvl>
    <w:lvl w:ilvl="1" w:tplc="04090003" w:tentative="1">
      <w:start w:val="1"/>
      <w:numFmt w:val="bullet"/>
      <w:lvlText w:val="o"/>
      <w:lvlJc w:val="left"/>
      <w:pPr>
        <w:ind w:left="1794" w:hanging="360"/>
      </w:pPr>
      <w:rPr>
        <w:rFonts w:ascii="Courier New" w:hAnsi="Courier New" w:cs="Courier New" w:hint="default"/>
      </w:rPr>
    </w:lvl>
    <w:lvl w:ilvl="2" w:tplc="04090005" w:tentative="1">
      <w:start w:val="1"/>
      <w:numFmt w:val="bullet"/>
      <w:lvlText w:val=""/>
      <w:lvlJc w:val="left"/>
      <w:pPr>
        <w:ind w:left="2514" w:hanging="360"/>
      </w:pPr>
      <w:rPr>
        <w:rFonts w:ascii="Wingdings" w:hAnsi="Wingdings" w:hint="default"/>
      </w:rPr>
    </w:lvl>
    <w:lvl w:ilvl="3" w:tplc="04090001" w:tentative="1">
      <w:start w:val="1"/>
      <w:numFmt w:val="bullet"/>
      <w:lvlText w:val=""/>
      <w:lvlJc w:val="left"/>
      <w:pPr>
        <w:ind w:left="3234" w:hanging="360"/>
      </w:pPr>
      <w:rPr>
        <w:rFonts w:ascii="Symbol" w:hAnsi="Symbol" w:hint="default"/>
      </w:rPr>
    </w:lvl>
    <w:lvl w:ilvl="4" w:tplc="04090003" w:tentative="1">
      <w:start w:val="1"/>
      <w:numFmt w:val="bullet"/>
      <w:lvlText w:val="o"/>
      <w:lvlJc w:val="left"/>
      <w:pPr>
        <w:ind w:left="3954" w:hanging="360"/>
      </w:pPr>
      <w:rPr>
        <w:rFonts w:ascii="Courier New" w:hAnsi="Courier New" w:cs="Courier New" w:hint="default"/>
      </w:rPr>
    </w:lvl>
    <w:lvl w:ilvl="5" w:tplc="04090005" w:tentative="1">
      <w:start w:val="1"/>
      <w:numFmt w:val="bullet"/>
      <w:lvlText w:val=""/>
      <w:lvlJc w:val="left"/>
      <w:pPr>
        <w:ind w:left="4674" w:hanging="360"/>
      </w:pPr>
      <w:rPr>
        <w:rFonts w:ascii="Wingdings" w:hAnsi="Wingdings" w:hint="default"/>
      </w:rPr>
    </w:lvl>
    <w:lvl w:ilvl="6" w:tplc="04090001" w:tentative="1">
      <w:start w:val="1"/>
      <w:numFmt w:val="bullet"/>
      <w:lvlText w:val=""/>
      <w:lvlJc w:val="left"/>
      <w:pPr>
        <w:ind w:left="5394" w:hanging="360"/>
      </w:pPr>
      <w:rPr>
        <w:rFonts w:ascii="Symbol" w:hAnsi="Symbol" w:hint="default"/>
      </w:rPr>
    </w:lvl>
    <w:lvl w:ilvl="7" w:tplc="04090003" w:tentative="1">
      <w:start w:val="1"/>
      <w:numFmt w:val="bullet"/>
      <w:lvlText w:val="o"/>
      <w:lvlJc w:val="left"/>
      <w:pPr>
        <w:ind w:left="6114" w:hanging="360"/>
      </w:pPr>
      <w:rPr>
        <w:rFonts w:ascii="Courier New" w:hAnsi="Courier New" w:cs="Courier New" w:hint="default"/>
      </w:rPr>
    </w:lvl>
    <w:lvl w:ilvl="8" w:tplc="04090005" w:tentative="1">
      <w:start w:val="1"/>
      <w:numFmt w:val="bullet"/>
      <w:lvlText w:val=""/>
      <w:lvlJc w:val="left"/>
      <w:pPr>
        <w:ind w:left="6834" w:hanging="360"/>
      </w:pPr>
      <w:rPr>
        <w:rFonts w:ascii="Wingdings" w:hAnsi="Wingdings" w:hint="default"/>
      </w:rPr>
    </w:lvl>
  </w:abstractNum>
  <w:abstractNum w:abstractNumId="13" w15:restartNumberingAfterBreak="0">
    <w:nsid w:val="420157A6"/>
    <w:multiLevelType w:val="hybridMultilevel"/>
    <w:tmpl w:val="128A9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952F91"/>
    <w:multiLevelType w:val="hybridMultilevel"/>
    <w:tmpl w:val="290278A2"/>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4E7E7D07"/>
    <w:multiLevelType w:val="hybridMultilevel"/>
    <w:tmpl w:val="8A066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AE0558"/>
    <w:multiLevelType w:val="hybridMultilevel"/>
    <w:tmpl w:val="62F4A51E"/>
    <w:lvl w:ilvl="0" w:tplc="FFF62406">
      <w:start w:val="3"/>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DA4EEB"/>
    <w:multiLevelType w:val="hybridMultilevel"/>
    <w:tmpl w:val="AFDAEA2A"/>
    <w:lvl w:ilvl="0" w:tplc="03F8BA9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E27167"/>
    <w:multiLevelType w:val="hybridMultilevel"/>
    <w:tmpl w:val="A80EC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0A0DA9"/>
    <w:multiLevelType w:val="hybridMultilevel"/>
    <w:tmpl w:val="431299F4"/>
    <w:lvl w:ilvl="0" w:tplc="9474A598">
      <w:start w:val="1"/>
      <w:numFmt w:val="decimal"/>
      <w:lvlText w:val="%1."/>
      <w:lvlJc w:val="left"/>
      <w:pPr>
        <w:ind w:left="360" w:hanging="360"/>
      </w:pPr>
      <w:rPr>
        <w:rFonts w:hint="default"/>
        <w:b/>
        <w:bCs/>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7202779"/>
    <w:multiLevelType w:val="hybridMultilevel"/>
    <w:tmpl w:val="8A403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7031E5"/>
    <w:multiLevelType w:val="hybridMultilevel"/>
    <w:tmpl w:val="05EEB61A"/>
    <w:lvl w:ilvl="0" w:tplc="7EF4BC8C">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8AD2582"/>
    <w:multiLevelType w:val="hybridMultilevel"/>
    <w:tmpl w:val="F4CE2504"/>
    <w:lvl w:ilvl="0" w:tplc="86E46DD2">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BF053DD"/>
    <w:multiLevelType w:val="hybridMultilevel"/>
    <w:tmpl w:val="26BEBAC8"/>
    <w:lvl w:ilvl="0" w:tplc="1638BF9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F5390D"/>
    <w:multiLevelType w:val="hybridMultilevel"/>
    <w:tmpl w:val="9E84B696"/>
    <w:lvl w:ilvl="0" w:tplc="09AA2462">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BB1278"/>
    <w:multiLevelType w:val="hybridMultilevel"/>
    <w:tmpl w:val="66D2D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139CE"/>
    <w:multiLevelType w:val="hybridMultilevel"/>
    <w:tmpl w:val="4ECE8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193935"/>
    <w:multiLevelType w:val="hybridMultilevel"/>
    <w:tmpl w:val="5AAC0528"/>
    <w:lvl w:ilvl="0" w:tplc="29063F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0"/>
  </w:num>
  <w:num w:numId="3">
    <w:abstractNumId w:val="20"/>
  </w:num>
  <w:num w:numId="4">
    <w:abstractNumId w:val="9"/>
  </w:num>
  <w:num w:numId="5">
    <w:abstractNumId w:val="5"/>
  </w:num>
  <w:num w:numId="6">
    <w:abstractNumId w:val="3"/>
  </w:num>
  <w:num w:numId="7">
    <w:abstractNumId w:val="11"/>
  </w:num>
  <w:num w:numId="8">
    <w:abstractNumId w:val="7"/>
  </w:num>
  <w:num w:numId="9">
    <w:abstractNumId w:val="2"/>
  </w:num>
  <w:num w:numId="10">
    <w:abstractNumId w:val="18"/>
  </w:num>
  <w:num w:numId="11">
    <w:abstractNumId w:val="10"/>
  </w:num>
  <w:num w:numId="12">
    <w:abstractNumId w:val="6"/>
  </w:num>
  <w:num w:numId="13">
    <w:abstractNumId w:val="21"/>
  </w:num>
  <w:num w:numId="14">
    <w:abstractNumId w:val="19"/>
  </w:num>
  <w:num w:numId="15">
    <w:abstractNumId w:val="17"/>
  </w:num>
  <w:num w:numId="16">
    <w:abstractNumId w:val="23"/>
  </w:num>
  <w:num w:numId="17">
    <w:abstractNumId w:val="13"/>
  </w:num>
  <w:num w:numId="18">
    <w:abstractNumId w:val="26"/>
  </w:num>
  <w:num w:numId="19">
    <w:abstractNumId w:val="15"/>
  </w:num>
  <w:num w:numId="20">
    <w:abstractNumId w:val="1"/>
  </w:num>
  <w:num w:numId="21">
    <w:abstractNumId w:val="8"/>
  </w:num>
  <w:num w:numId="22">
    <w:abstractNumId w:val="22"/>
  </w:num>
  <w:num w:numId="23">
    <w:abstractNumId w:val="12"/>
  </w:num>
  <w:num w:numId="24">
    <w:abstractNumId w:val="27"/>
  </w:num>
  <w:num w:numId="25">
    <w:abstractNumId w:val="24"/>
  </w:num>
  <w:num w:numId="26">
    <w:abstractNumId w:val="4"/>
  </w:num>
  <w:num w:numId="27">
    <w:abstractNumId w:val="14"/>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E2D"/>
    <w:rsid w:val="0010426F"/>
    <w:rsid w:val="001D5D40"/>
    <w:rsid w:val="001E21D9"/>
    <w:rsid w:val="002D46E4"/>
    <w:rsid w:val="003E4F6A"/>
    <w:rsid w:val="00575581"/>
    <w:rsid w:val="007577AE"/>
    <w:rsid w:val="008E7D1F"/>
    <w:rsid w:val="00990B04"/>
    <w:rsid w:val="00BD33F9"/>
    <w:rsid w:val="00BF5EA8"/>
    <w:rsid w:val="00C24E2D"/>
    <w:rsid w:val="00C95034"/>
    <w:rsid w:val="00D4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DA5FD6"/>
  <w15:chartTrackingRefBased/>
  <w15:docId w15:val="{DC0E2C1F-1996-B847-8812-937ECB7D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3">
    <w:name w:val="Grid Table 4 Accent 3"/>
    <w:basedOn w:val="TableNormal"/>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Accent5">
    <w:name w:val="List Table 3 Accent 5"/>
    <w:basedOn w:val="TableNormal"/>
    <w:uiPriority w:val="48"/>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4-Accent1">
    <w:name w:val="List Table 4 Accent 1"/>
    <w:basedOn w:val="TableNormal"/>
    <w:uiPriority w:val="49"/>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3">
    <w:name w:val="List Table 4 Accent 3"/>
    <w:basedOn w:val="TableNormal"/>
    <w:uiPriority w:val="4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Hyperlink">
    <w:name w:val="Hyperlink"/>
    <w:basedOn w:val="DefaultParagraphFont"/>
    <w:uiPriority w:val="99"/>
    <w:unhideWhenUsed/>
    <w:rPr>
      <w:color w:val="0563C1" w:themeColor="hyperlink"/>
      <w:u w:val="single"/>
    </w:rPr>
  </w:style>
  <w:style w:type="character" w:customStyle="1" w:styleId="UnresolvedMention1">
    <w:name w:val="Unresolved Mention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Pr>
      <w:rFonts w:ascii="Times New Roman" w:hAnsi="Times New Roman" w:cs="Times New Roman"/>
      <w:sz w:val="18"/>
      <w:szCs w:val="18"/>
    </w:rPr>
  </w:style>
  <w:style w:type="character" w:customStyle="1" w:styleId="apple-converted-space">
    <w:name w:val="apple-converted-space"/>
    <w:basedOn w:val="DefaultParagraphFont"/>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character" w:styleId="FollowedHyperlink">
    <w:name w:val="FollowedHyperlink"/>
    <w:basedOn w:val="DefaultParagraphFont"/>
    <w:uiPriority w:val="99"/>
    <w:semiHidden/>
    <w:unhideWhenUsed/>
    <w:rPr>
      <w:color w:val="954F72" w:themeColor="followedHyperlink"/>
      <w:u w:val="single"/>
    </w:rPr>
  </w:style>
  <w:style w:type="character" w:customStyle="1" w:styleId="UnresolvedMention2">
    <w:name w:val="Unresolved Mention2"/>
    <w:basedOn w:val="DefaultParagraphFont"/>
    <w:uiPriority w:val="99"/>
    <w:semiHidden/>
    <w:unhideWhenUsed/>
    <w:rPr>
      <w:color w:val="605E5C"/>
      <w:shd w:val="clear" w:color="auto" w:fill="E1DFDD"/>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uiPriority w:val="99"/>
    <w:semiHidden/>
    <w:unhideWhenUsed/>
  </w:style>
  <w:style w:type="character" w:customStyle="1" w:styleId="UnresolvedMention3">
    <w:name w:val="Unresolved Mention3"/>
    <w:basedOn w:val="DefaultParagraphFont"/>
    <w:uiPriority w:val="99"/>
    <w:semiHidden/>
    <w:unhideWhenUsed/>
    <w:rPr>
      <w:color w:val="605E5C"/>
      <w:shd w:val="clear" w:color="auto" w:fill="E1DFDD"/>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character" w:customStyle="1" w:styleId="UnresolvedMention4">
    <w:name w:val="Unresolved Mention4"/>
    <w:basedOn w:val="DefaultParagraphFon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102789">
      <w:bodyDiv w:val="1"/>
      <w:marLeft w:val="0"/>
      <w:marRight w:val="0"/>
      <w:marTop w:val="0"/>
      <w:marBottom w:val="0"/>
      <w:divBdr>
        <w:top w:val="none" w:sz="0" w:space="0" w:color="auto"/>
        <w:left w:val="none" w:sz="0" w:space="0" w:color="auto"/>
        <w:bottom w:val="none" w:sz="0" w:space="0" w:color="auto"/>
        <w:right w:val="none" w:sz="0" w:space="0" w:color="auto"/>
      </w:divBdr>
    </w:div>
    <w:div w:id="1011105686">
      <w:bodyDiv w:val="1"/>
      <w:marLeft w:val="0"/>
      <w:marRight w:val="0"/>
      <w:marTop w:val="0"/>
      <w:marBottom w:val="0"/>
      <w:divBdr>
        <w:top w:val="none" w:sz="0" w:space="0" w:color="auto"/>
        <w:left w:val="none" w:sz="0" w:space="0" w:color="auto"/>
        <w:bottom w:val="none" w:sz="0" w:space="0" w:color="auto"/>
        <w:right w:val="none" w:sz="0" w:space="0" w:color="auto"/>
      </w:divBdr>
      <w:divsChild>
        <w:div w:id="1320578734">
          <w:marLeft w:val="0"/>
          <w:marRight w:val="0"/>
          <w:marTop w:val="0"/>
          <w:marBottom w:val="0"/>
          <w:divBdr>
            <w:top w:val="none" w:sz="0" w:space="0" w:color="auto"/>
            <w:left w:val="none" w:sz="0" w:space="0" w:color="auto"/>
            <w:bottom w:val="none" w:sz="0" w:space="0" w:color="auto"/>
            <w:right w:val="none" w:sz="0" w:space="0" w:color="auto"/>
          </w:divBdr>
          <w:divsChild>
            <w:div w:id="1997874751">
              <w:marLeft w:val="0"/>
              <w:marRight w:val="0"/>
              <w:marTop w:val="0"/>
              <w:marBottom w:val="0"/>
              <w:divBdr>
                <w:top w:val="none" w:sz="0" w:space="0" w:color="auto"/>
                <w:left w:val="none" w:sz="0" w:space="0" w:color="auto"/>
                <w:bottom w:val="none" w:sz="0" w:space="0" w:color="auto"/>
                <w:right w:val="none" w:sz="0" w:space="0" w:color="auto"/>
              </w:divBdr>
              <w:divsChild>
                <w:div w:id="201795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172821">
      <w:bodyDiv w:val="1"/>
      <w:marLeft w:val="0"/>
      <w:marRight w:val="0"/>
      <w:marTop w:val="0"/>
      <w:marBottom w:val="0"/>
      <w:divBdr>
        <w:top w:val="none" w:sz="0" w:space="0" w:color="auto"/>
        <w:left w:val="none" w:sz="0" w:space="0" w:color="auto"/>
        <w:bottom w:val="none" w:sz="0" w:space="0" w:color="auto"/>
        <w:right w:val="none" w:sz="0" w:space="0" w:color="auto"/>
      </w:divBdr>
    </w:div>
    <w:div w:id="1764759000">
      <w:bodyDiv w:val="1"/>
      <w:marLeft w:val="0"/>
      <w:marRight w:val="0"/>
      <w:marTop w:val="0"/>
      <w:marBottom w:val="0"/>
      <w:divBdr>
        <w:top w:val="none" w:sz="0" w:space="0" w:color="auto"/>
        <w:left w:val="none" w:sz="0" w:space="0" w:color="auto"/>
        <w:bottom w:val="none" w:sz="0" w:space="0" w:color="auto"/>
        <w:right w:val="none" w:sz="0" w:space="0" w:color="auto"/>
      </w:divBdr>
      <w:divsChild>
        <w:div w:id="445276774">
          <w:marLeft w:val="1166"/>
          <w:marRight w:val="0"/>
          <w:marTop w:val="77"/>
          <w:marBottom w:val="160"/>
          <w:divBdr>
            <w:top w:val="none" w:sz="0" w:space="0" w:color="auto"/>
            <w:left w:val="none" w:sz="0" w:space="0" w:color="auto"/>
            <w:bottom w:val="none" w:sz="0" w:space="0" w:color="auto"/>
            <w:right w:val="none" w:sz="0" w:space="0" w:color="auto"/>
          </w:divBdr>
        </w:div>
        <w:div w:id="1488588417">
          <w:marLeft w:val="1166"/>
          <w:marRight w:val="0"/>
          <w:marTop w:val="77"/>
          <w:marBottom w:val="160"/>
          <w:divBdr>
            <w:top w:val="none" w:sz="0" w:space="0" w:color="auto"/>
            <w:left w:val="none" w:sz="0" w:space="0" w:color="auto"/>
            <w:bottom w:val="none" w:sz="0" w:space="0" w:color="auto"/>
            <w:right w:val="none" w:sz="0" w:space="0" w:color="auto"/>
          </w:divBdr>
        </w:div>
        <w:div w:id="132337099">
          <w:marLeft w:val="1166"/>
          <w:marRight w:val="0"/>
          <w:marTop w:val="77"/>
          <w:marBottom w:val="160"/>
          <w:divBdr>
            <w:top w:val="none" w:sz="0" w:space="0" w:color="auto"/>
            <w:left w:val="none" w:sz="0" w:space="0" w:color="auto"/>
            <w:bottom w:val="none" w:sz="0" w:space="0" w:color="auto"/>
            <w:right w:val="none" w:sz="0" w:space="0" w:color="auto"/>
          </w:divBdr>
        </w:div>
        <w:div w:id="837841131">
          <w:marLeft w:val="547"/>
          <w:marRight w:val="0"/>
          <w:marTop w:val="77"/>
          <w:marBottom w:val="160"/>
          <w:divBdr>
            <w:top w:val="none" w:sz="0" w:space="0" w:color="auto"/>
            <w:left w:val="none" w:sz="0" w:space="0" w:color="auto"/>
            <w:bottom w:val="none" w:sz="0" w:space="0" w:color="auto"/>
            <w:right w:val="none" w:sz="0" w:space="0" w:color="auto"/>
          </w:divBdr>
        </w:div>
        <w:div w:id="513348850">
          <w:marLeft w:val="1166"/>
          <w:marRight w:val="0"/>
          <w:marTop w:val="77"/>
          <w:marBottom w:val="160"/>
          <w:divBdr>
            <w:top w:val="none" w:sz="0" w:space="0" w:color="auto"/>
            <w:left w:val="none" w:sz="0" w:space="0" w:color="auto"/>
            <w:bottom w:val="none" w:sz="0" w:space="0" w:color="auto"/>
            <w:right w:val="none" w:sz="0" w:space="0" w:color="auto"/>
          </w:divBdr>
        </w:div>
        <w:div w:id="1667589170">
          <w:marLeft w:val="1166"/>
          <w:marRight w:val="0"/>
          <w:marTop w:val="77"/>
          <w:marBottom w:val="160"/>
          <w:divBdr>
            <w:top w:val="none" w:sz="0" w:space="0" w:color="auto"/>
            <w:left w:val="none" w:sz="0" w:space="0" w:color="auto"/>
            <w:bottom w:val="none" w:sz="0" w:space="0" w:color="auto"/>
            <w:right w:val="none" w:sz="0" w:space="0" w:color="auto"/>
          </w:divBdr>
        </w:div>
      </w:divsChild>
    </w:div>
    <w:div w:id="1848323485">
      <w:bodyDiv w:val="1"/>
      <w:marLeft w:val="0"/>
      <w:marRight w:val="0"/>
      <w:marTop w:val="0"/>
      <w:marBottom w:val="0"/>
      <w:divBdr>
        <w:top w:val="none" w:sz="0" w:space="0" w:color="auto"/>
        <w:left w:val="none" w:sz="0" w:space="0" w:color="auto"/>
        <w:bottom w:val="none" w:sz="0" w:space="0" w:color="auto"/>
        <w:right w:val="none" w:sz="0" w:space="0" w:color="auto"/>
      </w:divBdr>
      <w:divsChild>
        <w:div w:id="517888042">
          <w:marLeft w:val="0"/>
          <w:marRight w:val="0"/>
          <w:marTop w:val="0"/>
          <w:marBottom w:val="0"/>
          <w:divBdr>
            <w:top w:val="none" w:sz="0" w:space="0" w:color="auto"/>
            <w:left w:val="none" w:sz="0" w:space="0" w:color="auto"/>
            <w:bottom w:val="none" w:sz="0" w:space="0" w:color="auto"/>
            <w:right w:val="none" w:sz="0" w:space="0" w:color="auto"/>
          </w:divBdr>
          <w:divsChild>
            <w:div w:id="364409514">
              <w:marLeft w:val="0"/>
              <w:marRight w:val="0"/>
              <w:marTop w:val="0"/>
              <w:marBottom w:val="0"/>
              <w:divBdr>
                <w:top w:val="none" w:sz="0" w:space="0" w:color="auto"/>
                <w:left w:val="none" w:sz="0" w:space="0" w:color="auto"/>
                <w:bottom w:val="none" w:sz="0" w:space="0" w:color="auto"/>
                <w:right w:val="none" w:sz="0" w:space="0" w:color="auto"/>
              </w:divBdr>
              <w:divsChild>
                <w:div w:id="65846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ribalselfgov.org/health-reform/webinars/july-16-2020-tsgac-aca-webinar-covid-19-tribal-health-care-funding/" TargetMode="External"/><Relationship Id="rId18" Type="http://schemas.openxmlformats.org/officeDocument/2006/relationships/hyperlink" Target="https://www.whitehouse.gov/presidential-actions/executive-order-improving-rural-health-telehealth-access/" TargetMode="External"/><Relationship Id="rId26" Type="http://schemas.openxmlformats.org/officeDocument/2006/relationships/hyperlink" Target="https://www.kff.org/medicaid/issue-brief/status-of-state-medicaid-expansion-decisions-interactive-map/" TargetMode="External"/><Relationship Id="rId21" Type="http://schemas.openxmlformats.org/officeDocument/2006/relationships/hyperlink" Target="https://www.cms.gov/files/document/covid-19-nursing-home-telehealth-toolkit.pdf"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cdc.gov/vaccines/imz-managers/downloads/COVID-19-Vaccination-Program-Interim_Playbook.pdf" TargetMode="External"/><Relationship Id="rId17" Type="http://schemas.openxmlformats.org/officeDocument/2006/relationships/hyperlink" Target="https://www.cms.gov/newsroom/press-releases/trump-administration-finalizes-permanent-expansion-medicare-telehealth-services-and-improved-payment" TargetMode="External"/><Relationship Id="rId25" Type="http://schemas.openxmlformats.org/officeDocument/2006/relationships/hyperlink" Target="https://www.ihs.gov/ihm/circulars/2020/community-health-aide-program/" TargetMode="External"/><Relationship Id="rId33" Type="http://schemas.openxmlformats.org/officeDocument/2006/relationships/hyperlink" Target="https://www.congress.gov/bill/116th-congress/house-bill/7105/text?q=%7B%22search%22%3A%5B%22johnny+isakson+veteran+bill%22%5D%7D&amp;r=1&amp;s=1"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cms.gov/Medicare/Medicare-General-Information/Telehealth/Telehealth-Codes." TargetMode="External"/><Relationship Id="rId20" Type="http://schemas.openxmlformats.org/officeDocument/2006/relationships/hyperlink" Target="https://www.medicaid.gov/medicaid/benefits/downloads/medicaid-chip-telehealth-toolkit.pdf" TargetMode="External"/><Relationship Id="rId29" Type="http://schemas.openxmlformats.org/officeDocument/2006/relationships/hyperlink" Target="https://www.cms.gov/newsroom/press-releases/cms-proposed-rule-seeks-reduce-exchange-fees-again-lower-premiums-plans-using-federal-enroll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hs.gov/sites/newsroom/themes/responsive2017/display_objects/documents/2020_Letters/DTLL_DUIOLL_11182020.pdf" TargetMode="External"/><Relationship Id="rId24" Type="http://schemas.openxmlformats.org/officeDocument/2006/relationships/hyperlink" Target="https://www.ihs.gov/sites/newsroom/themes/responsive2017/display_objects/documents/2020_Letters/DTLL_09212020.pdf" TargetMode="External"/><Relationship Id="rId32" Type="http://schemas.openxmlformats.org/officeDocument/2006/relationships/hyperlink" Target="https://www.ihs.gov/sites/newsroom/themes/responsive2017/display_objects/documents/2020_Letters/DTLL_12022020.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ihb.org/covid-19/wp-content/uploads/2020/09/FINAL_-September-2020-COVID-health-letter.pdf" TargetMode="External"/><Relationship Id="rId23" Type="http://schemas.openxmlformats.org/officeDocument/2006/relationships/hyperlink" Target="https://www.hhs.gov/guidance/sites/default/files/hhs-guidance-documents/340B-AO-FINAL-12-30-2020_0.pdf" TargetMode="External"/><Relationship Id="rId28" Type="http://schemas.openxmlformats.org/officeDocument/2006/relationships/hyperlink" Target="https://www.tribalselfgov.org/health-reform/health-q-a/tribal-sponsorship-fast-track-key-tasks/" TargetMode="External"/><Relationship Id="rId36" Type="http://schemas.openxmlformats.org/officeDocument/2006/relationships/header" Target="header2.xml"/><Relationship Id="rId10" Type="http://schemas.openxmlformats.org/officeDocument/2006/relationships/hyperlink" Target="https://www.ihs.gov/sites/newsroom/themes/responsive2017/display_objects/documents/2020_Letters/Enclosure_DTLL_DUIOLL_11182020.pdf" TargetMode="External"/><Relationship Id="rId19" Type="http://schemas.openxmlformats.org/officeDocument/2006/relationships/hyperlink" Target="https://www.cms.gov/newsroom/fact-sheets/medicare-telemedicine-health-care-provider-fact-sheet" TargetMode="External"/><Relationship Id="rId31" Type="http://schemas.openxmlformats.org/officeDocument/2006/relationships/hyperlink" Target="https://www.ihs.gov/sites/newsroom/themes/responsive2017/display_objects/documents/2020_Letters/Enclosure_DTLL_12022020.pdf" TargetMode="External"/><Relationship Id="rId4" Type="http://schemas.openxmlformats.org/officeDocument/2006/relationships/settings" Target="settings.xml"/><Relationship Id="rId9" Type="http://schemas.openxmlformats.org/officeDocument/2006/relationships/hyperlink" Target="https://www.cms.gov/files/document/medicare-telehealth-frequently-asked-questions-faqs-31720.pdf" TargetMode="External"/><Relationship Id="rId14" Type="http://schemas.openxmlformats.org/officeDocument/2006/relationships/hyperlink" Target="https://www.hhs.gov/coronavirus/cares-act-provider-relief-fund/reporting-auditing/index.html" TargetMode="External"/><Relationship Id="rId22" Type="http://schemas.openxmlformats.org/officeDocument/2006/relationships/hyperlink" Target="https://www.tribalselfgov.org/health-reform/webinars/aca-webinar-recent-updates-and-innovations-in-telehealth/" TargetMode="External"/><Relationship Id="rId27" Type="http://schemas.openxmlformats.org/officeDocument/2006/relationships/hyperlink" Target="https://www.medicaid.gov/medicaid/section-1115-demo/demonstration-and-waiver-list/index.html" TargetMode="External"/><Relationship Id="rId30" Type="http://schemas.openxmlformats.org/officeDocument/2006/relationships/hyperlink" Target="https://www.tribalselfgov.org/wp-content/uploads/2020/02/rev-Matrix-CCIIO-Issuer-Letters-Select-Marketplace-Issues-2014-2021-2020-02-05b.pdf" TargetMode="External"/><Relationship Id="rId35" Type="http://schemas.openxmlformats.org/officeDocument/2006/relationships/footer" Target="footer1.xml"/><Relationship Id="rId8" Type="http://schemas.openxmlformats.org/officeDocument/2006/relationships/hyperlink" Target="https://www.medicaid.gov/state-resource-center/downloads/covid-19-vaccine-toolkit.pdf" TargetMode="External"/><Relationship Id="rId3"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22A3B-E6C6-416F-B5A4-FD9B48FB8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Sullivan</dc:creator>
  <cp:keywords/>
  <dc:description/>
  <cp:lastModifiedBy>Cyndi Ferguson</cp:lastModifiedBy>
  <cp:revision>4</cp:revision>
  <dcterms:created xsi:type="dcterms:W3CDTF">2021-02-17T13:26:00Z</dcterms:created>
  <dcterms:modified xsi:type="dcterms:W3CDTF">2021-02-17T15:16:00Z</dcterms:modified>
</cp:coreProperties>
</file>