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C6BC" w14:textId="77777777" w:rsidR="00C24E2D" w:rsidRDefault="00C24E2D">
      <w:pPr>
        <w:jc w:val="center"/>
        <w:rPr>
          <w:b/>
          <w:bCs/>
          <w:u w:val="single"/>
        </w:rPr>
      </w:pPr>
    </w:p>
    <w:p w14:paraId="52E5ED64" w14:textId="77777777" w:rsidR="00C24E2D" w:rsidRDefault="003E4F6A">
      <w:pPr>
        <w:jc w:val="center"/>
        <w:rPr>
          <w:b/>
          <w:bCs/>
          <w:u w:val="single"/>
        </w:rPr>
      </w:pPr>
      <w:r>
        <w:rPr>
          <w:b/>
          <w:bCs/>
          <w:u w:val="single"/>
        </w:rPr>
        <w:t>TSGAC ACA/IHCIA Project Priority Issues</w:t>
      </w:r>
    </w:p>
    <w:p w14:paraId="59D10006" w14:textId="77777777" w:rsidR="00C24E2D" w:rsidRDefault="00A13012">
      <w:pPr>
        <w:jc w:val="center"/>
        <w:rPr>
          <w:bCs/>
        </w:rPr>
      </w:pPr>
      <w:r>
        <w:rPr>
          <w:bCs/>
        </w:rPr>
        <w:t xml:space="preserve">Updated: </w:t>
      </w:r>
      <w:r w:rsidR="00250AA9">
        <w:rPr>
          <w:bCs/>
        </w:rPr>
        <w:t>2</w:t>
      </w:r>
      <w:r w:rsidR="00540BAA">
        <w:rPr>
          <w:bCs/>
        </w:rPr>
        <w:t>/</w:t>
      </w:r>
      <w:r w:rsidR="00893E75">
        <w:rPr>
          <w:bCs/>
        </w:rPr>
        <w:t>2</w:t>
      </w:r>
      <w:r w:rsidR="00540BAA">
        <w:rPr>
          <w:bCs/>
        </w:rPr>
        <w:t>/</w:t>
      </w:r>
      <w:r>
        <w:rPr>
          <w:bCs/>
        </w:rPr>
        <w:t>202</w:t>
      </w:r>
      <w:r w:rsidR="00AA4045">
        <w:rPr>
          <w:bCs/>
        </w:rPr>
        <w:t>2</w:t>
      </w:r>
    </w:p>
    <w:tbl>
      <w:tblPr>
        <w:tblStyle w:val="GridTable4-Accent3"/>
        <w:tblpPr w:leftFromText="180" w:rightFromText="180" w:vertAnchor="page" w:horzAnchor="margin" w:tblpXSpec="center" w:tblpY="2668"/>
        <w:tblW w:w="12775" w:type="dxa"/>
        <w:tblLayout w:type="fixed"/>
        <w:tblLook w:val="04A0" w:firstRow="1" w:lastRow="0" w:firstColumn="1" w:lastColumn="0" w:noHBand="0" w:noVBand="1"/>
      </w:tblPr>
      <w:tblGrid>
        <w:gridCol w:w="1795"/>
        <w:gridCol w:w="440"/>
        <w:gridCol w:w="3250"/>
        <w:gridCol w:w="4230"/>
        <w:gridCol w:w="3060"/>
      </w:tblGrid>
      <w:tr w:rsidR="00C24E2D" w14:paraId="556C5BA3" w14:textId="77777777" w:rsidTr="00237EAD">
        <w:trPr>
          <w:cnfStyle w:val="100000000000" w:firstRow="1" w:lastRow="0" w:firstColumn="0" w:lastColumn="0" w:oddVBand="0" w:evenVBand="0" w:oddHBand="0" w:evenHBand="0" w:firstRowFirstColumn="0" w:firstRowLastColumn="0" w:lastRowFirstColumn="0" w:lastRowLastColumn="0"/>
          <w:cantSplit/>
          <w:trHeight w:val="784"/>
          <w:tblHeader/>
        </w:trPr>
        <w:tc>
          <w:tcPr>
            <w:cnfStyle w:val="001000000000" w:firstRow="0" w:lastRow="0" w:firstColumn="1" w:lastColumn="0" w:oddVBand="0" w:evenVBand="0" w:oddHBand="0" w:evenHBand="0" w:firstRowFirstColumn="0" w:firstRowLastColumn="0" w:lastRowFirstColumn="0" w:lastRowLastColumn="0"/>
            <w:tcW w:w="2235" w:type="dxa"/>
            <w:gridSpan w:val="2"/>
          </w:tcPr>
          <w:p w14:paraId="41FAD932" w14:textId="77777777" w:rsidR="00C24E2D" w:rsidRDefault="00C24E2D">
            <w:pPr>
              <w:jc w:val="center"/>
              <w:rPr>
                <w:b w:val="0"/>
                <w:bCs w:val="0"/>
                <w:color w:val="000000" w:themeColor="text1"/>
              </w:rPr>
            </w:pPr>
          </w:p>
          <w:p w14:paraId="4F6B2609" w14:textId="77777777" w:rsidR="00C24E2D" w:rsidRDefault="003E4F6A">
            <w:pPr>
              <w:jc w:val="center"/>
              <w:rPr>
                <w:color w:val="000000" w:themeColor="text1"/>
              </w:rPr>
            </w:pPr>
            <w:r>
              <w:rPr>
                <w:color w:val="000000" w:themeColor="text1"/>
              </w:rPr>
              <w:t>TOPIC</w:t>
            </w:r>
          </w:p>
        </w:tc>
        <w:tc>
          <w:tcPr>
            <w:tcW w:w="3250" w:type="dxa"/>
          </w:tcPr>
          <w:p w14:paraId="5C9EFD10"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5A5F27D3" w14:textId="77777777" w:rsidR="00C24E2D" w:rsidRDefault="003E4F6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ISSUE DESCRIPTION</w:t>
            </w:r>
          </w:p>
        </w:tc>
        <w:tc>
          <w:tcPr>
            <w:tcW w:w="4230" w:type="dxa"/>
          </w:tcPr>
          <w:p w14:paraId="0F87C1C4"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66213632" w14:textId="77777777" w:rsidR="00C24E2D" w:rsidRDefault="00D375ED">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TRIBAL REQUESTS &amp; RECOMMENDED TSGAC ACTION</w:t>
            </w:r>
          </w:p>
        </w:tc>
        <w:tc>
          <w:tcPr>
            <w:tcW w:w="3060" w:type="dxa"/>
          </w:tcPr>
          <w:p w14:paraId="23290CA2"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78D66EFA" w14:textId="77777777" w:rsidR="00C24E2D" w:rsidRDefault="003E4F6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NOTES</w:t>
            </w:r>
          </w:p>
        </w:tc>
      </w:tr>
      <w:tr w:rsidR="009F7B63" w14:paraId="503AFB7D" w14:textId="77777777" w:rsidTr="0002498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1795" w:type="dxa"/>
          </w:tcPr>
          <w:p w14:paraId="39046EEE" w14:textId="77777777" w:rsidR="009F7B63" w:rsidRDefault="009F7B63" w:rsidP="00D375ED">
            <w:pPr>
              <w:rPr>
                <w:sz w:val="22"/>
                <w:szCs w:val="22"/>
              </w:rPr>
            </w:pPr>
            <w:r>
              <w:rPr>
                <w:sz w:val="22"/>
                <w:szCs w:val="22"/>
              </w:rPr>
              <w:t>CMS COVID-1</w:t>
            </w:r>
            <w:r w:rsidR="00132AE9">
              <w:rPr>
                <w:sz w:val="22"/>
                <w:szCs w:val="22"/>
              </w:rPr>
              <w:t>9</w:t>
            </w:r>
            <w:r>
              <w:rPr>
                <w:sz w:val="22"/>
                <w:szCs w:val="22"/>
              </w:rPr>
              <w:t xml:space="preserve"> Health Care Staff Vaccination Interim Final Rule</w:t>
            </w:r>
          </w:p>
        </w:tc>
        <w:tc>
          <w:tcPr>
            <w:tcW w:w="3690" w:type="dxa"/>
            <w:gridSpan w:val="2"/>
          </w:tcPr>
          <w:p w14:paraId="7A207DD2" w14:textId="77777777" w:rsidR="006C5A64" w:rsidRDefault="00767B56" w:rsidP="00D375E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Pr>
                <w:sz w:val="21"/>
                <w:szCs w:val="21"/>
              </w:rPr>
              <w:t>O</w:t>
            </w:r>
            <w:r w:rsidR="00B2475B">
              <w:rPr>
                <w:sz w:val="21"/>
                <w:szCs w:val="21"/>
              </w:rPr>
              <w:t xml:space="preserve">n November 5, 2021, </w:t>
            </w:r>
            <w:r w:rsidR="00132AE9" w:rsidRPr="00C51763">
              <w:rPr>
                <w:rFonts w:ascii="Calibri" w:eastAsia="Times New Roman" w:hAnsi="Calibri" w:cs="Calibri"/>
                <w:sz w:val="22"/>
                <w:szCs w:val="22"/>
              </w:rPr>
              <w:t xml:space="preserve">CMS and </w:t>
            </w:r>
            <w:r w:rsidR="00005EC3" w:rsidRPr="00C51763">
              <w:rPr>
                <w:rFonts w:ascii="Calibri" w:eastAsia="Times New Roman" w:hAnsi="Calibri" w:cs="Calibri"/>
                <w:sz w:val="22"/>
                <w:szCs w:val="22"/>
              </w:rPr>
              <w:t>the Occupational Safety and Health Administration (OHSA) separately released two new vaccination requirements.</w:t>
            </w:r>
            <w:r w:rsidR="00005EC3" w:rsidRPr="00C51763">
              <w:rPr>
                <w:rFonts w:ascii="Arial" w:eastAsia="Times New Roman" w:hAnsi="Arial" w:cs="Arial"/>
                <w:sz w:val="22"/>
                <w:szCs w:val="22"/>
              </w:rPr>
              <w:t> </w:t>
            </w:r>
          </w:p>
          <w:p w14:paraId="4B87C791" w14:textId="77777777" w:rsidR="006C5A64" w:rsidRDefault="006C5A64" w:rsidP="00D375ED">
            <w:pPr>
              <w:cnfStyle w:val="000000100000" w:firstRow="0" w:lastRow="0" w:firstColumn="0" w:lastColumn="0" w:oddVBand="0" w:evenVBand="0" w:oddHBand="1" w:evenHBand="0" w:firstRowFirstColumn="0" w:firstRowLastColumn="0" w:lastRowFirstColumn="0" w:lastRowLastColumn="0"/>
              <w:rPr>
                <w:sz w:val="21"/>
                <w:szCs w:val="21"/>
              </w:rPr>
            </w:pPr>
          </w:p>
          <w:p w14:paraId="32FFDD45" w14:textId="77777777" w:rsidR="00AF0F2B" w:rsidRDefault="006C5A64" w:rsidP="00D375E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On </w:t>
            </w:r>
            <w:r w:rsidR="00AF0F2B">
              <w:rPr>
                <w:sz w:val="21"/>
                <w:szCs w:val="21"/>
              </w:rPr>
              <w:t>January 13, 2022, the Supreme Court struck down the OSHA vaccine mandate but let the CMS vaccine mandate stand.</w:t>
            </w:r>
          </w:p>
          <w:p w14:paraId="1CD86082" w14:textId="77777777" w:rsidR="00AF0F2B" w:rsidRDefault="00AF0F2B" w:rsidP="00D375ED">
            <w:pPr>
              <w:cnfStyle w:val="000000100000" w:firstRow="0" w:lastRow="0" w:firstColumn="0" w:lastColumn="0" w:oddVBand="0" w:evenVBand="0" w:oddHBand="1" w:evenHBand="0" w:firstRowFirstColumn="0" w:firstRowLastColumn="0" w:lastRowFirstColumn="0" w:lastRowLastColumn="0"/>
              <w:rPr>
                <w:sz w:val="21"/>
                <w:szCs w:val="21"/>
              </w:rPr>
            </w:pPr>
          </w:p>
          <w:p w14:paraId="33FB16CC" w14:textId="77777777" w:rsidR="0021109E" w:rsidRDefault="00AF0F2B" w:rsidP="00D375E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On January 14, 2022, CMS issued new guidance </w:t>
            </w:r>
            <w:r w:rsidR="00E6223C">
              <w:rPr>
                <w:sz w:val="21"/>
                <w:szCs w:val="21"/>
              </w:rPr>
              <w:t xml:space="preserve">and new implementation dates for the 25 States in which the CMS vaccine mandate had been </w:t>
            </w:r>
            <w:r w:rsidR="00691916">
              <w:rPr>
                <w:sz w:val="21"/>
                <w:szCs w:val="21"/>
              </w:rPr>
              <w:t>blocked pending Supreme Court review</w:t>
            </w:r>
            <w:r w:rsidR="00E6223C">
              <w:rPr>
                <w:sz w:val="21"/>
                <w:szCs w:val="21"/>
              </w:rPr>
              <w:t>.  This guidance supplements</w:t>
            </w:r>
            <w:r w:rsidR="003F4016">
              <w:rPr>
                <w:sz w:val="21"/>
                <w:szCs w:val="21"/>
              </w:rPr>
              <w:t xml:space="preserve"> the original</w:t>
            </w:r>
            <w:r w:rsidR="00E6223C">
              <w:rPr>
                <w:sz w:val="21"/>
                <w:szCs w:val="21"/>
              </w:rPr>
              <w:t xml:space="preserve"> guidance issued by CMS on December 28 that is still in effect for </w:t>
            </w:r>
            <w:r w:rsidR="00583529">
              <w:rPr>
                <w:sz w:val="21"/>
                <w:szCs w:val="21"/>
              </w:rPr>
              <w:t xml:space="preserve">the 24 States </w:t>
            </w:r>
            <w:r w:rsidR="00F776A7">
              <w:rPr>
                <w:sz w:val="21"/>
                <w:szCs w:val="21"/>
              </w:rPr>
              <w:t>where the</w:t>
            </w:r>
            <w:r w:rsidR="00583529">
              <w:rPr>
                <w:sz w:val="21"/>
                <w:szCs w:val="21"/>
              </w:rPr>
              <w:t xml:space="preserve"> mandate</w:t>
            </w:r>
            <w:r w:rsidR="00F776A7">
              <w:rPr>
                <w:sz w:val="21"/>
                <w:szCs w:val="21"/>
              </w:rPr>
              <w:t xml:space="preserve"> had not been blocked</w:t>
            </w:r>
            <w:r w:rsidR="00583529">
              <w:rPr>
                <w:sz w:val="21"/>
                <w:szCs w:val="21"/>
              </w:rPr>
              <w:t xml:space="preserve">.  </w:t>
            </w:r>
            <w:r w:rsidR="00696993">
              <w:rPr>
                <w:sz w:val="21"/>
                <w:szCs w:val="21"/>
              </w:rPr>
              <w:t>On January 20, CMS issue new implementation dates for covered facilities in Texas, the remaining state.</w:t>
            </w:r>
          </w:p>
          <w:p w14:paraId="42A65318" w14:textId="77777777" w:rsidR="0021109E" w:rsidRDefault="0021109E" w:rsidP="00D375ED">
            <w:pPr>
              <w:cnfStyle w:val="000000100000" w:firstRow="0" w:lastRow="0" w:firstColumn="0" w:lastColumn="0" w:oddVBand="0" w:evenVBand="0" w:oddHBand="1" w:evenHBand="0" w:firstRowFirstColumn="0" w:firstRowLastColumn="0" w:lastRowFirstColumn="0" w:lastRowLastColumn="0"/>
              <w:rPr>
                <w:sz w:val="21"/>
                <w:szCs w:val="21"/>
              </w:rPr>
            </w:pPr>
          </w:p>
          <w:p w14:paraId="01CEA866" w14:textId="77777777" w:rsidR="00A60E3B" w:rsidRDefault="003F4016" w:rsidP="00A60E3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The December 28 guidance applies to the following states:  </w:t>
            </w:r>
            <w:r w:rsidR="00A60E3B" w:rsidRPr="00A60E3B">
              <w:rPr>
                <w:sz w:val="21"/>
                <w:szCs w:val="21"/>
              </w:rPr>
              <w:t xml:space="preserve">California, Colorado, Connecticut, Delaware, Florida, Hawaii, Illinois, Maine, Maryland, Massachusetts, Michigan, Minnesota, Nevada, New Jersey, New Mexico, New York, North Carolina, </w:t>
            </w:r>
            <w:r w:rsidR="00A60E3B" w:rsidRPr="00A60E3B">
              <w:rPr>
                <w:sz w:val="21"/>
                <w:szCs w:val="21"/>
              </w:rPr>
              <w:lastRenderedPageBreak/>
              <w:t xml:space="preserve">Oregon, Pennsylvania, Rhode Island, Tennessee, Vermont, Virginia, Washington, and Wisconsin. The compliance deadlines for the December </w:t>
            </w:r>
            <w:r w:rsidR="00A60E3B">
              <w:rPr>
                <w:sz w:val="21"/>
                <w:szCs w:val="21"/>
              </w:rPr>
              <w:t>28 Guidance a</w:t>
            </w:r>
            <w:r w:rsidR="00A60E3B" w:rsidRPr="00A60E3B">
              <w:rPr>
                <w:sz w:val="21"/>
                <w:szCs w:val="21"/>
              </w:rPr>
              <w:t>re January 27, 2022 (</w:t>
            </w:r>
            <w:r w:rsidR="00A60E3B">
              <w:rPr>
                <w:sz w:val="21"/>
                <w:szCs w:val="21"/>
              </w:rPr>
              <w:t>phase 1</w:t>
            </w:r>
            <w:r w:rsidR="00A60E3B" w:rsidRPr="00A60E3B">
              <w:rPr>
                <w:sz w:val="21"/>
                <w:szCs w:val="21"/>
              </w:rPr>
              <w:t xml:space="preserve">), </w:t>
            </w:r>
            <w:r w:rsidR="00A60E3B">
              <w:rPr>
                <w:sz w:val="21"/>
                <w:szCs w:val="21"/>
              </w:rPr>
              <w:t xml:space="preserve">and </w:t>
            </w:r>
            <w:r w:rsidR="00A60E3B" w:rsidRPr="00A60E3B">
              <w:rPr>
                <w:sz w:val="21"/>
                <w:szCs w:val="21"/>
              </w:rPr>
              <w:t>February 28, 2022 (</w:t>
            </w:r>
            <w:r w:rsidR="00A60E3B">
              <w:rPr>
                <w:sz w:val="21"/>
                <w:szCs w:val="21"/>
              </w:rPr>
              <w:t>phase 2).</w:t>
            </w:r>
          </w:p>
          <w:p w14:paraId="701EFB03" w14:textId="77777777" w:rsidR="00A60E3B" w:rsidRDefault="00A60E3B" w:rsidP="00A60E3B">
            <w:pPr>
              <w:cnfStyle w:val="000000100000" w:firstRow="0" w:lastRow="0" w:firstColumn="0" w:lastColumn="0" w:oddVBand="0" w:evenVBand="0" w:oddHBand="1" w:evenHBand="0" w:firstRowFirstColumn="0" w:firstRowLastColumn="0" w:lastRowFirstColumn="0" w:lastRowLastColumn="0"/>
              <w:rPr>
                <w:sz w:val="21"/>
                <w:szCs w:val="21"/>
              </w:rPr>
            </w:pPr>
          </w:p>
          <w:p w14:paraId="6F909781" w14:textId="77777777" w:rsidR="009F7B63" w:rsidRDefault="00A60E3B" w:rsidP="00D375E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The January 14, 2022 guidance applies to the following states:  </w:t>
            </w:r>
            <w:r w:rsidR="00691916" w:rsidRPr="00691916">
              <w:rPr>
                <w:sz w:val="21"/>
                <w:szCs w:val="21"/>
              </w:rPr>
              <w:t>Alabama, Alaska, Arizona, Arkansas, Georgia, Idaho, Indiana, Iowa, Kansas, Kentucky, Louisiana, Mississippi, Missouri, Montana, Nebraska, New Hampshire, North Dakota, Ohio, Oklahoma, South Carolina, South Dakota, Utah, West Virginia, and Wyoming.</w:t>
            </w:r>
            <w:r w:rsidR="00691916">
              <w:rPr>
                <w:sz w:val="21"/>
                <w:szCs w:val="21"/>
              </w:rPr>
              <w:t xml:space="preserve">  The compliance deadlines </w:t>
            </w:r>
            <w:r w:rsidR="0056391E">
              <w:rPr>
                <w:sz w:val="21"/>
                <w:szCs w:val="21"/>
              </w:rPr>
              <w:t>for providers in these states are February 14</w:t>
            </w:r>
            <w:r w:rsidR="00B2475B">
              <w:rPr>
                <w:sz w:val="21"/>
                <w:szCs w:val="21"/>
              </w:rPr>
              <w:t xml:space="preserve">, 2022 </w:t>
            </w:r>
            <w:r w:rsidR="0056391E">
              <w:rPr>
                <w:sz w:val="21"/>
                <w:szCs w:val="21"/>
              </w:rPr>
              <w:t>(</w:t>
            </w:r>
            <w:r w:rsidR="00B2475B">
              <w:rPr>
                <w:sz w:val="21"/>
                <w:szCs w:val="21"/>
              </w:rPr>
              <w:t>Phase 1</w:t>
            </w:r>
            <w:r w:rsidR="0056391E">
              <w:rPr>
                <w:sz w:val="21"/>
                <w:szCs w:val="21"/>
              </w:rPr>
              <w:t xml:space="preserve">) </w:t>
            </w:r>
            <w:proofErr w:type="gramStart"/>
            <w:r w:rsidR="0056391E">
              <w:rPr>
                <w:sz w:val="21"/>
                <w:szCs w:val="21"/>
              </w:rPr>
              <w:t xml:space="preserve">and </w:t>
            </w:r>
            <w:r w:rsidR="00B2475B">
              <w:rPr>
                <w:sz w:val="21"/>
                <w:szCs w:val="21"/>
              </w:rPr>
              <w:t xml:space="preserve"> </w:t>
            </w:r>
            <w:r w:rsidR="0056391E">
              <w:rPr>
                <w:sz w:val="21"/>
                <w:szCs w:val="21"/>
              </w:rPr>
              <w:t>March</w:t>
            </w:r>
            <w:proofErr w:type="gramEnd"/>
            <w:r w:rsidR="0056391E">
              <w:rPr>
                <w:sz w:val="21"/>
                <w:szCs w:val="21"/>
              </w:rPr>
              <w:t xml:space="preserve"> 15 (</w:t>
            </w:r>
            <w:r w:rsidR="00B2475B">
              <w:rPr>
                <w:sz w:val="21"/>
                <w:szCs w:val="21"/>
              </w:rPr>
              <w:t>Phase 2</w:t>
            </w:r>
            <w:r w:rsidR="0056391E">
              <w:rPr>
                <w:sz w:val="21"/>
                <w:szCs w:val="21"/>
              </w:rPr>
              <w:t>)</w:t>
            </w:r>
            <w:r w:rsidR="00B2475B">
              <w:rPr>
                <w:sz w:val="21"/>
                <w:szCs w:val="21"/>
              </w:rPr>
              <w:t>.</w:t>
            </w:r>
          </w:p>
          <w:p w14:paraId="1911128C" w14:textId="77777777" w:rsidR="00696993" w:rsidRDefault="00696993" w:rsidP="00D375ED">
            <w:pPr>
              <w:cnfStyle w:val="000000100000" w:firstRow="0" w:lastRow="0" w:firstColumn="0" w:lastColumn="0" w:oddVBand="0" w:evenVBand="0" w:oddHBand="1" w:evenHBand="0" w:firstRowFirstColumn="0" w:firstRowLastColumn="0" w:lastRowFirstColumn="0" w:lastRowLastColumn="0"/>
              <w:rPr>
                <w:sz w:val="21"/>
                <w:szCs w:val="21"/>
              </w:rPr>
            </w:pPr>
          </w:p>
          <w:p w14:paraId="3F0140E1" w14:textId="77777777" w:rsidR="00696993" w:rsidRDefault="00696993" w:rsidP="00D375E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The January 20, 2022 guidance applies to Texas.  The compliance deadline for covered providers in Texas is February 19, 2022 (Phase 1) and March 21, 2022 (Phase 2).</w:t>
            </w:r>
          </w:p>
          <w:p w14:paraId="2E22BE2C" w14:textId="77777777" w:rsidR="00B2475B" w:rsidRDefault="00B2475B" w:rsidP="00D375ED">
            <w:pPr>
              <w:cnfStyle w:val="000000100000" w:firstRow="0" w:lastRow="0" w:firstColumn="0" w:lastColumn="0" w:oddVBand="0" w:evenVBand="0" w:oddHBand="1" w:evenHBand="0" w:firstRowFirstColumn="0" w:firstRowLastColumn="0" w:lastRowFirstColumn="0" w:lastRowLastColumn="0"/>
              <w:rPr>
                <w:sz w:val="21"/>
                <w:szCs w:val="21"/>
              </w:rPr>
            </w:pPr>
          </w:p>
          <w:p w14:paraId="05E66DF0" w14:textId="77777777" w:rsidR="001F737E" w:rsidRDefault="00B2475B" w:rsidP="00D375ED">
            <w:pPr>
              <w:cnfStyle w:val="000000100000" w:firstRow="0" w:lastRow="0" w:firstColumn="0" w:lastColumn="0" w:oddVBand="0" w:evenVBand="0" w:oddHBand="1" w:evenHBand="0" w:firstRowFirstColumn="0" w:firstRowLastColumn="0" w:lastRowFirstColumn="0" w:lastRowLastColumn="0"/>
              <w:rPr>
                <w:bCs/>
                <w:iCs/>
                <w:sz w:val="21"/>
                <w:szCs w:val="21"/>
              </w:rPr>
            </w:pPr>
            <w:r>
              <w:rPr>
                <w:b/>
                <w:bCs/>
                <w:i/>
                <w:iCs/>
                <w:sz w:val="21"/>
                <w:szCs w:val="21"/>
              </w:rPr>
              <w:t xml:space="preserve">Issue: </w:t>
            </w:r>
            <w:r w:rsidR="001F737E">
              <w:rPr>
                <w:bCs/>
                <w:iCs/>
                <w:sz w:val="21"/>
                <w:szCs w:val="21"/>
              </w:rPr>
              <w:t xml:space="preserve">CMS has </w:t>
            </w:r>
            <w:r w:rsidR="00AA729E">
              <w:rPr>
                <w:bCs/>
                <w:iCs/>
                <w:sz w:val="21"/>
                <w:szCs w:val="21"/>
              </w:rPr>
              <w:t>confirmed that only Medicare certified facilities included in the interim final rule which</w:t>
            </w:r>
            <w:r w:rsidR="0005115B">
              <w:rPr>
                <w:bCs/>
                <w:iCs/>
                <w:sz w:val="21"/>
                <w:szCs w:val="21"/>
              </w:rPr>
              <w:t xml:space="preserve"> appear in the following database, </w:t>
            </w:r>
            <w:hyperlink r:id="rId8" w:history="1">
              <w:r w:rsidR="0005115B" w:rsidRPr="00933467">
                <w:rPr>
                  <w:rStyle w:val="Hyperlink"/>
                  <w:bCs/>
                  <w:iCs/>
                  <w:sz w:val="21"/>
                  <w:szCs w:val="21"/>
                </w:rPr>
                <w:t>www.qcor.cms.gov</w:t>
              </w:r>
            </w:hyperlink>
            <w:r w:rsidR="0005115B">
              <w:rPr>
                <w:bCs/>
                <w:iCs/>
                <w:sz w:val="21"/>
                <w:szCs w:val="21"/>
              </w:rPr>
              <w:t xml:space="preserve"> are covered (having a</w:t>
            </w:r>
            <w:r w:rsidR="00AA729E">
              <w:rPr>
                <w:bCs/>
                <w:iCs/>
                <w:sz w:val="21"/>
                <w:szCs w:val="21"/>
              </w:rPr>
              <w:t>n independent</w:t>
            </w:r>
            <w:r w:rsidR="0005115B">
              <w:rPr>
                <w:bCs/>
                <w:iCs/>
                <w:sz w:val="21"/>
                <w:szCs w:val="21"/>
              </w:rPr>
              <w:t xml:space="preserve"> lab listed does not count).</w:t>
            </w:r>
            <w:r w:rsidR="00642781">
              <w:rPr>
                <w:bCs/>
                <w:iCs/>
                <w:sz w:val="21"/>
                <w:szCs w:val="21"/>
              </w:rPr>
              <w:t xml:space="preserve">  </w:t>
            </w:r>
            <w:r w:rsidR="00AA729E">
              <w:rPr>
                <w:bCs/>
                <w:iCs/>
                <w:sz w:val="21"/>
                <w:szCs w:val="21"/>
              </w:rPr>
              <w:t xml:space="preserve">CMS has produced a list of IHS and tribal facilities in the database that are covered by the rule.  </w:t>
            </w:r>
            <w:r w:rsidR="00E81161">
              <w:rPr>
                <w:bCs/>
                <w:iCs/>
                <w:sz w:val="21"/>
                <w:szCs w:val="21"/>
              </w:rPr>
              <w:t>Clinics</w:t>
            </w:r>
            <w:r w:rsidR="00AA729E">
              <w:rPr>
                <w:bCs/>
                <w:iCs/>
                <w:sz w:val="21"/>
                <w:szCs w:val="21"/>
              </w:rPr>
              <w:t xml:space="preserve"> that enroll only in Medicare Part B </w:t>
            </w:r>
            <w:r w:rsidR="00E81161">
              <w:rPr>
                <w:bCs/>
                <w:iCs/>
                <w:sz w:val="21"/>
                <w:szCs w:val="21"/>
              </w:rPr>
              <w:t xml:space="preserve">and are </w:t>
            </w:r>
            <w:r w:rsidR="00E81161">
              <w:rPr>
                <w:bCs/>
                <w:iCs/>
                <w:sz w:val="21"/>
                <w:szCs w:val="21"/>
              </w:rPr>
              <w:lastRenderedPageBreak/>
              <w:t xml:space="preserve">not independently certified by Medicare as a Medicare FQHC or otherwise are </w:t>
            </w:r>
            <w:proofErr w:type="gramStart"/>
            <w:r w:rsidR="00E81161">
              <w:rPr>
                <w:bCs/>
                <w:iCs/>
                <w:sz w:val="21"/>
                <w:szCs w:val="21"/>
              </w:rPr>
              <w:t>physicians</w:t>
            </w:r>
            <w:proofErr w:type="gramEnd"/>
            <w:r w:rsidR="00E81161">
              <w:rPr>
                <w:bCs/>
                <w:iCs/>
                <w:sz w:val="21"/>
                <w:szCs w:val="21"/>
              </w:rPr>
              <w:t xml:space="preserve"> offices and not covered by the mandate.  CMS will be holding a tribal consultation call on the rule on February 10, 2022.</w:t>
            </w:r>
          </w:p>
          <w:p w14:paraId="74143C64" w14:textId="77777777" w:rsidR="00642781" w:rsidRDefault="00642781" w:rsidP="00D375ED">
            <w:pPr>
              <w:cnfStyle w:val="000000100000" w:firstRow="0" w:lastRow="0" w:firstColumn="0" w:lastColumn="0" w:oddVBand="0" w:evenVBand="0" w:oddHBand="1" w:evenHBand="0" w:firstRowFirstColumn="0" w:firstRowLastColumn="0" w:lastRowFirstColumn="0" w:lastRowLastColumn="0"/>
              <w:rPr>
                <w:bCs/>
                <w:iCs/>
                <w:sz w:val="21"/>
                <w:szCs w:val="21"/>
              </w:rPr>
            </w:pPr>
          </w:p>
          <w:p w14:paraId="475DCEF9" w14:textId="77777777" w:rsidR="00B71194" w:rsidRDefault="00642781" w:rsidP="00642781">
            <w:pPr>
              <w:cnfStyle w:val="000000100000" w:firstRow="0" w:lastRow="0" w:firstColumn="0" w:lastColumn="0" w:oddVBand="0" w:evenVBand="0" w:oddHBand="1" w:evenHBand="0" w:firstRowFirstColumn="0" w:firstRowLastColumn="0" w:lastRowFirstColumn="0" w:lastRowLastColumn="0"/>
              <w:rPr>
                <w:sz w:val="21"/>
                <w:szCs w:val="21"/>
              </w:rPr>
            </w:pPr>
            <w:r w:rsidRPr="00642781">
              <w:rPr>
                <w:b/>
                <w:bCs/>
                <w:i/>
                <w:iCs/>
                <w:sz w:val="21"/>
                <w:szCs w:val="21"/>
              </w:rPr>
              <w:t xml:space="preserve">Issue:  </w:t>
            </w:r>
            <w:r w:rsidR="00B71194">
              <w:rPr>
                <w:sz w:val="21"/>
                <w:szCs w:val="21"/>
              </w:rPr>
              <w:t xml:space="preserve"> Tribes are concerned that CMS failed to consult with tribes before the rule was published and have asked CMS not to implement it in tribal facilities until CMS has engaged in tribal consultation on the rule.</w:t>
            </w:r>
          </w:p>
          <w:p w14:paraId="74DA1007" w14:textId="77777777" w:rsidR="00B71194" w:rsidRDefault="00B71194" w:rsidP="00642781">
            <w:pPr>
              <w:cnfStyle w:val="000000100000" w:firstRow="0" w:lastRow="0" w:firstColumn="0" w:lastColumn="0" w:oddVBand="0" w:evenVBand="0" w:oddHBand="1" w:evenHBand="0" w:firstRowFirstColumn="0" w:firstRowLastColumn="0" w:lastRowFirstColumn="0" w:lastRowLastColumn="0"/>
              <w:rPr>
                <w:sz w:val="21"/>
                <w:szCs w:val="21"/>
              </w:rPr>
            </w:pPr>
          </w:p>
          <w:p w14:paraId="6CA5DA1F" w14:textId="77777777" w:rsidR="00B2475B" w:rsidRPr="00B2475B" w:rsidRDefault="00B71194" w:rsidP="00642781">
            <w:pPr>
              <w:cnfStyle w:val="000000100000" w:firstRow="0" w:lastRow="0" w:firstColumn="0" w:lastColumn="0" w:oddVBand="0" w:evenVBand="0" w:oddHBand="1" w:evenHBand="0" w:firstRowFirstColumn="0" w:firstRowLastColumn="0" w:lastRowFirstColumn="0" w:lastRowLastColumn="0"/>
              <w:rPr>
                <w:sz w:val="21"/>
                <w:szCs w:val="21"/>
              </w:rPr>
            </w:pPr>
            <w:r w:rsidRPr="00B71194">
              <w:rPr>
                <w:b/>
                <w:i/>
                <w:sz w:val="21"/>
                <w:szCs w:val="21"/>
              </w:rPr>
              <w:t>Issue:</w:t>
            </w:r>
            <w:r>
              <w:rPr>
                <w:sz w:val="21"/>
                <w:szCs w:val="21"/>
              </w:rPr>
              <w:t xml:space="preserve">  </w:t>
            </w:r>
            <w:r w:rsidR="00DD0D3F">
              <w:rPr>
                <w:sz w:val="21"/>
                <w:szCs w:val="21"/>
              </w:rPr>
              <w:t>Tribes</w:t>
            </w:r>
            <w:r w:rsidR="0037526E">
              <w:rPr>
                <w:sz w:val="21"/>
                <w:szCs w:val="21"/>
              </w:rPr>
              <w:t xml:space="preserve"> are concerned that implementing a vaccine mandate without other testing alternatives could lead to increased staffing shortages. </w:t>
            </w:r>
          </w:p>
        </w:tc>
        <w:tc>
          <w:tcPr>
            <w:tcW w:w="4230" w:type="dxa"/>
          </w:tcPr>
          <w:p w14:paraId="31ADC196" w14:textId="77777777" w:rsidR="004165F0" w:rsidRDefault="0037526E" w:rsidP="00D375ED">
            <w:pPr>
              <w:cnfStyle w:val="000000100000" w:firstRow="0" w:lastRow="0" w:firstColumn="0" w:lastColumn="0" w:oddVBand="0" w:evenVBand="0" w:oddHBand="1" w:evenHBand="0" w:firstRowFirstColumn="0" w:firstRowLastColumn="0" w:lastRowFirstColumn="0" w:lastRowLastColumn="0"/>
              <w:rPr>
                <w:b/>
                <w:i/>
                <w:sz w:val="22"/>
                <w:szCs w:val="22"/>
              </w:rPr>
            </w:pPr>
            <w:r>
              <w:rPr>
                <w:b/>
                <w:i/>
                <w:sz w:val="22"/>
                <w:szCs w:val="22"/>
              </w:rPr>
              <w:lastRenderedPageBreak/>
              <w:t>Tribal Recommendations:</w:t>
            </w:r>
          </w:p>
          <w:p w14:paraId="71E867BD" w14:textId="30C0203B" w:rsidR="0055030C" w:rsidRDefault="0055030C" w:rsidP="004165F0">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CMS should not implement the rule in Indian country until it consults with Tribes on the rule</w:t>
            </w:r>
            <w:r w:rsidR="008104BF">
              <w:rPr>
                <w:bCs/>
                <w:iCs/>
                <w:sz w:val="22"/>
                <w:szCs w:val="22"/>
              </w:rPr>
              <w:t>.</w:t>
            </w:r>
          </w:p>
          <w:p w14:paraId="7BE0AC1A" w14:textId="55A131CD" w:rsidR="002B4CBB" w:rsidRDefault="002B4CBB" w:rsidP="004165F0">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CMS should amend its FAQs on IHS/Tribal health facilities to clarify that if a facility is not listed on the qcor.cms.gov database, then the facility is not covered by the mandate</w:t>
            </w:r>
            <w:r w:rsidR="008104BF">
              <w:rPr>
                <w:bCs/>
                <w:iCs/>
                <w:sz w:val="22"/>
                <w:szCs w:val="22"/>
              </w:rPr>
              <w:t>.</w:t>
            </w:r>
          </w:p>
          <w:p w14:paraId="753757C1" w14:textId="403250C2" w:rsidR="0055030C" w:rsidRDefault="0055030C" w:rsidP="0055030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 xml:space="preserve">CMS should </w:t>
            </w:r>
            <w:r w:rsidR="00016786">
              <w:rPr>
                <w:bCs/>
                <w:iCs/>
                <w:sz w:val="22"/>
                <w:szCs w:val="22"/>
              </w:rPr>
              <w:t xml:space="preserve">allow </w:t>
            </w:r>
            <w:r>
              <w:rPr>
                <w:bCs/>
                <w:iCs/>
                <w:sz w:val="22"/>
                <w:szCs w:val="22"/>
              </w:rPr>
              <w:t>facilities to use negative testing as an alternative for employees who do not wish to be vaccinated</w:t>
            </w:r>
            <w:r w:rsidR="008104BF">
              <w:rPr>
                <w:bCs/>
                <w:iCs/>
                <w:sz w:val="22"/>
                <w:szCs w:val="22"/>
              </w:rPr>
              <w:t>.</w:t>
            </w:r>
          </w:p>
          <w:p w14:paraId="672E801F" w14:textId="77777777" w:rsidR="004165F0" w:rsidRDefault="004165F0" w:rsidP="00D375ED">
            <w:pPr>
              <w:cnfStyle w:val="000000100000" w:firstRow="0" w:lastRow="0" w:firstColumn="0" w:lastColumn="0" w:oddVBand="0" w:evenVBand="0" w:oddHBand="1" w:evenHBand="0" w:firstRowFirstColumn="0" w:firstRowLastColumn="0" w:lastRowFirstColumn="0" w:lastRowLastColumn="0"/>
              <w:rPr>
                <w:b/>
                <w:i/>
                <w:sz w:val="22"/>
                <w:szCs w:val="22"/>
              </w:rPr>
            </w:pPr>
          </w:p>
          <w:p w14:paraId="7DF60C96" w14:textId="77777777" w:rsidR="004165F0" w:rsidRDefault="004165F0" w:rsidP="00D375ED">
            <w:pPr>
              <w:cnfStyle w:val="000000100000" w:firstRow="0" w:lastRow="0" w:firstColumn="0" w:lastColumn="0" w:oddVBand="0" w:evenVBand="0" w:oddHBand="1" w:evenHBand="0" w:firstRowFirstColumn="0" w:firstRowLastColumn="0" w:lastRowFirstColumn="0" w:lastRowLastColumn="0"/>
              <w:rPr>
                <w:b/>
                <w:i/>
                <w:sz w:val="22"/>
                <w:szCs w:val="22"/>
              </w:rPr>
            </w:pPr>
            <w:r>
              <w:rPr>
                <w:b/>
                <w:i/>
                <w:sz w:val="22"/>
                <w:szCs w:val="22"/>
              </w:rPr>
              <w:t xml:space="preserve">TSGAC Actions: </w:t>
            </w:r>
          </w:p>
          <w:p w14:paraId="634DC2D6" w14:textId="77777777" w:rsidR="00132AE9" w:rsidRPr="00132AE9" w:rsidRDefault="00132AE9" w:rsidP="00005EC3">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bCs/>
                <w:iCs/>
                <w:sz w:val="20"/>
                <w:szCs w:val="20"/>
              </w:rPr>
            </w:pPr>
            <w:r w:rsidRPr="00132AE9">
              <w:rPr>
                <w:sz w:val="22"/>
                <w:szCs w:val="22"/>
              </w:rPr>
              <w:t>Tribes, as sovereign nations, should be permitted to address vaccine requirements in whatever way they see fit.</w:t>
            </w:r>
          </w:p>
          <w:p w14:paraId="39387EC2" w14:textId="77777777" w:rsidR="00132AE9" w:rsidRPr="008104BF" w:rsidRDefault="00132AE9" w:rsidP="00005EC3">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 xml:space="preserve">Continue advocacy </w:t>
            </w:r>
            <w:r w:rsidRPr="008104BF">
              <w:rPr>
                <w:bCs/>
                <w:iCs/>
                <w:sz w:val="20"/>
                <w:szCs w:val="20"/>
              </w:rPr>
              <w:t>efforts</w:t>
            </w:r>
            <w:r w:rsidR="00CA3FD8" w:rsidRPr="008104BF">
              <w:rPr>
                <w:bCs/>
                <w:iCs/>
                <w:sz w:val="20"/>
                <w:szCs w:val="20"/>
              </w:rPr>
              <w:t xml:space="preserve"> to get CMS to clarify the scope of the rule and consult with tribal governments before implementing it in Indian country</w:t>
            </w:r>
          </w:p>
          <w:p w14:paraId="4763AB59" w14:textId="77777777" w:rsidR="009F7B63" w:rsidRDefault="0037526E" w:rsidP="00D375ED">
            <w:pPr>
              <w:cnfStyle w:val="000000100000" w:firstRow="0" w:lastRow="0" w:firstColumn="0" w:lastColumn="0" w:oddVBand="0" w:evenVBand="0" w:oddHBand="1" w:evenHBand="0" w:firstRowFirstColumn="0" w:firstRowLastColumn="0" w:lastRowFirstColumn="0" w:lastRowLastColumn="0"/>
              <w:rPr>
                <w:b/>
                <w:i/>
                <w:sz w:val="22"/>
                <w:szCs w:val="22"/>
              </w:rPr>
            </w:pPr>
            <w:r>
              <w:rPr>
                <w:b/>
                <w:i/>
                <w:sz w:val="22"/>
                <w:szCs w:val="22"/>
              </w:rPr>
              <w:t xml:space="preserve"> </w:t>
            </w:r>
          </w:p>
        </w:tc>
        <w:tc>
          <w:tcPr>
            <w:tcW w:w="3060" w:type="dxa"/>
          </w:tcPr>
          <w:p w14:paraId="55B14B20" w14:textId="77777777" w:rsidR="009F7B63" w:rsidRPr="0066293A" w:rsidRDefault="00B2475B" w:rsidP="0066293A">
            <w:pPr>
              <w:pStyle w:val="ListParagraph"/>
              <w:numPr>
                <w:ilvl w:val="0"/>
                <w:numId w:val="46"/>
              </w:numPr>
              <w:ind w:right="-5"/>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66293A">
              <w:rPr>
                <w:b/>
                <w:color w:val="000000" w:themeColor="text1"/>
                <w:sz w:val="22"/>
                <w:szCs w:val="22"/>
              </w:rPr>
              <w:t xml:space="preserve">FAQ for the Rule: </w:t>
            </w:r>
            <w:hyperlink r:id="rId9" w:history="1">
              <w:r w:rsidRPr="0066293A">
                <w:rPr>
                  <w:rStyle w:val="Hyperlink"/>
                  <w:b/>
                  <w:sz w:val="22"/>
                  <w:szCs w:val="22"/>
                </w:rPr>
                <w:t>https://www.cms.gov/files/document/cms-omnibus-covid-19-health-care-staff-vaccination-requirements-2021.pdf</w:t>
              </w:r>
            </w:hyperlink>
          </w:p>
          <w:p w14:paraId="0D9BE3A5" w14:textId="77777777" w:rsidR="0066293A" w:rsidRDefault="0066293A" w:rsidP="0066293A">
            <w:pPr>
              <w:ind w:right="-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p w14:paraId="3078DC53" w14:textId="77777777" w:rsidR="00B2475B" w:rsidRPr="000C0364" w:rsidRDefault="000C0364" w:rsidP="0066293A">
            <w:pPr>
              <w:pStyle w:val="ListParagraph"/>
              <w:numPr>
                <w:ilvl w:val="0"/>
                <w:numId w:val="46"/>
              </w:numPr>
              <w:ind w:right="-5"/>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u w:val="single"/>
              </w:rPr>
            </w:pPr>
            <w:r w:rsidRPr="000C0364">
              <w:rPr>
                <w:rFonts w:ascii="Calibri" w:eastAsia="Times New Roman" w:hAnsi="Calibri" w:cs="Calibri"/>
                <w:b/>
                <w:color w:val="C00000"/>
                <w:sz w:val="22"/>
                <w:szCs w:val="22"/>
                <w:u w:val="single"/>
              </w:rPr>
              <w:t xml:space="preserve">The </w:t>
            </w:r>
            <w:r w:rsidR="0066293A" w:rsidRPr="000C0364">
              <w:rPr>
                <w:rFonts w:ascii="Calibri" w:eastAsia="Times New Roman" w:hAnsi="Calibri" w:cs="Calibri"/>
                <w:b/>
                <w:color w:val="C00000"/>
                <w:sz w:val="22"/>
                <w:szCs w:val="22"/>
                <w:u w:val="single"/>
              </w:rPr>
              <w:t>December 28</w:t>
            </w:r>
            <w:r w:rsidRPr="000C0364">
              <w:rPr>
                <w:rFonts w:ascii="Calibri" w:eastAsia="Times New Roman" w:hAnsi="Calibri" w:cs="Calibri"/>
                <w:b/>
                <w:color w:val="C00000"/>
                <w:sz w:val="22"/>
                <w:szCs w:val="22"/>
                <w:u w:val="single"/>
              </w:rPr>
              <w:t xml:space="preserve"> guidance </w:t>
            </w:r>
            <w:r w:rsidR="0066293A" w:rsidRPr="00893E75">
              <w:rPr>
                <w:rFonts w:ascii="Calibri" w:eastAsia="Times New Roman" w:hAnsi="Calibri" w:cs="Calibri"/>
                <w:b/>
                <w:bCs/>
                <w:color w:val="4472C4" w:themeColor="accent1"/>
                <w:sz w:val="22"/>
                <w:szCs w:val="22"/>
                <w:u w:val="single"/>
              </w:rPr>
              <w:t>can be found</w:t>
            </w:r>
            <w:r w:rsidR="0066293A" w:rsidRPr="00893E75">
              <w:rPr>
                <w:rFonts w:ascii="Calibri" w:eastAsia="Times New Roman" w:hAnsi="Calibri" w:cs="Calibri"/>
                <w:b/>
                <w:color w:val="4472C4" w:themeColor="accent1"/>
                <w:sz w:val="22"/>
                <w:szCs w:val="22"/>
                <w:u w:val="single"/>
              </w:rPr>
              <w:t xml:space="preserve"> </w:t>
            </w:r>
            <w:hyperlink r:id="rId10" w:tgtFrame="_blank" w:history="1">
              <w:r w:rsidR="0066293A" w:rsidRPr="00893E75">
                <w:rPr>
                  <w:rStyle w:val="Hyperlink"/>
                  <w:rFonts w:ascii="Calibri" w:eastAsia="Times New Roman" w:hAnsi="Calibri" w:cs="Calibri"/>
                  <w:b/>
                  <w:color w:val="4472C4" w:themeColor="accent1"/>
                  <w:sz w:val="22"/>
                  <w:szCs w:val="22"/>
                </w:rPr>
                <w:t>HERE.</w:t>
              </w:r>
            </w:hyperlink>
          </w:p>
          <w:p w14:paraId="27A93C83" w14:textId="77777777" w:rsidR="000C0364" w:rsidRPr="000C0364" w:rsidRDefault="000C0364" w:rsidP="000C0364">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u w:val="single"/>
              </w:rPr>
            </w:pPr>
          </w:p>
          <w:p w14:paraId="228337B2" w14:textId="77777777" w:rsidR="000C0364" w:rsidRDefault="000C0364" w:rsidP="0066293A">
            <w:pPr>
              <w:pStyle w:val="ListParagraph"/>
              <w:numPr>
                <w:ilvl w:val="0"/>
                <w:numId w:val="46"/>
              </w:numPr>
              <w:ind w:right="-5"/>
              <w:cnfStyle w:val="000000100000" w:firstRow="0" w:lastRow="0" w:firstColumn="0" w:lastColumn="0" w:oddVBand="0" w:evenVBand="0" w:oddHBand="1" w:evenHBand="0" w:firstRowFirstColumn="0" w:firstRowLastColumn="0" w:lastRowFirstColumn="0" w:lastRowLastColumn="0"/>
              <w:rPr>
                <w:rFonts w:ascii="Calibri" w:hAnsi="Calibri" w:cs="Calibri"/>
                <w:b/>
                <w:color w:val="C00000"/>
                <w:sz w:val="22"/>
                <w:szCs w:val="22"/>
                <w:u w:val="single"/>
              </w:rPr>
            </w:pPr>
            <w:r w:rsidRPr="000C0364">
              <w:rPr>
                <w:rFonts w:ascii="Calibri" w:hAnsi="Calibri" w:cs="Calibri"/>
                <w:b/>
                <w:color w:val="C00000"/>
                <w:sz w:val="22"/>
                <w:szCs w:val="22"/>
                <w:u w:val="single"/>
              </w:rPr>
              <w:t xml:space="preserve">The January 14 guidance can be found </w:t>
            </w:r>
            <w:hyperlink r:id="rId11" w:history="1">
              <w:r w:rsidRPr="00893E75">
                <w:rPr>
                  <w:rStyle w:val="Hyperlink"/>
                  <w:rFonts w:ascii="Calibri" w:hAnsi="Calibri" w:cs="Calibri"/>
                  <w:b/>
                  <w:color w:val="C00000"/>
                  <w:sz w:val="22"/>
                  <w:szCs w:val="22"/>
                </w:rPr>
                <w:t>HERE</w:t>
              </w:r>
            </w:hyperlink>
            <w:r w:rsidRPr="000C0364">
              <w:rPr>
                <w:rFonts w:ascii="Calibri" w:hAnsi="Calibri" w:cs="Calibri"/>
                <w:b/>
                <w:color w:val="C00000"/>
                <w:sz w:val="22"/>
                <w:szCs w:val="22"/>
                <w:u w:val="single"/>
              </w:rPr>
              <w:t>.</w:t>
            </w:r>
          </w:p>
          <w:p w14:paraId="1EFC73CB" w14:textId="77777777" w:rsidR="00181905" w:rsidRPr="00181905" w:rsidRDefault="00181905" w:rsidP="00181905">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b/>
                <w:color w:val="C00000"/>
                <w:sz w:val="22"/>
                <w:szCs w:val="22"/>
                <w:u w:val="single"/>
              </w:rPr>
            </w:pPr>
          </w:p>
          <w:p w14:paraId="55F2FB33" w14:textId="77777777" w:rsidR="00181905" w:rsidRPr="000C0364" w:rsidRDefault="00181905" w:rsidP="0066293A">
            <w:pPr>
              <w:pStyle w:val="ListParagraph"/>
              <w:numPr>
                <w:ilvl w:val="0"/>
                <w:numId w:val="46"/>
              </w:numPr>
              <w:ind w:right="-5"/>
              <w:cnfStyle w:val="000000100000" w:firstRow="0" w:lastRow="0" w:firstColumn="0" w:lastColumn="0" w:oddVBand="0" w:evenVBand="0" w:oddHBand="1" w:evenHBand="0" w:firstRowFirstColumn="0" w:firstRowLastColumn="0" w:lastRowFirstColumn="0" w:lastRowLastColumn="0"/>
              <w:rPr>
                <w:rFonts w:ascii="Calibri" w:hAnsi="Calibri" w:cs="Calibri"/>
                <w:b/>
                <w:color w:val="C00000"/>
                <w:sz w:val="22"/>
                <w:szCs w:val="22"/>
                <w:u w:val="single"/>
              </w:rPr>
            </w:pPr>
            <w:r>
              <w:rPr>
                <w:rFonts w:ascii="Calibri" w:hAnsi="Calibri" w:cs="Calibri"/>
                <w:b/>
                <w:color w:val="C00000"/>
                <w:sz w:val="22"/>
                <w:szCs w:val="22"/>
                <w:u w:val="single"/>
              </w:rPr>
              <w:t xml:space="preserve">The January 20 guidance can be found </w:t>
            </w:r>
            <w:hyperlink r:id="rId12" w:history="1">
              <w:r w:rsidRPr="00181905">
                <w:rPr>
                  <w:rStyle w:val="Hyperlink"/>
                  <w:rFonts w:ascii="Calibri" w:hAnsi="Calibri" w:cs="Calibri"/>
                  <w:b/>
                  <w:sz w:val="22"/>
                  <w:szCs w:val="22"/>
                </w:rPr>
                <w:t>HERE</w:t>
              </w:r>
            </w:hyperlink>
            <w:r>
              <w:rPr>
                <w:rFonts w:ascii="Calibri" w:hAnsi="Calibri" w:cs="Calibri"/>
                <w:b/>
                <w:color w:val="C00000"/>
                <w:sz w:val="22"/>
                <w:szCs w:val="22"/>
                <w:u w:val="single"/>
              </w:rPr>
              <w:t>.</w:t>
            </w:r>
          </w:p>
          <w:p w14:paraId="659BC62A" w14:textId="77777777" w:rsidR="000C0364" w:rsidRPr="000C0364" w:rsidRDefault="000C0364" w:rsidP="000C0364">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u w:val="single"/>
              </w:rPr>
            </w:pPr>
          </w:p>
          <w:p w14:paraId="240E3604" w14:textId="77777777" w:rsidR="000C0364" w:rsidRPr="000C0364" w:rsidRDefault="000C0364" w:rsidP="000C0364">
            <w:pPr>
              <w:ind w:right="-5"/>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2"/>
                <w:szCs w:val="22"/>
                <w:u w:val="single"/>
              </w:rPr>
            </w:pPr>
          </w:p>
        </w:tc>
      </w:tr>
      <w:tr w:rsidR="00D375ED" w14:paraId="2F2BD544" w14:textId="77777777" w:rsidTr="00024984">
        <w:trPr>
          <w:cantSplit/>
          <w:trHeight w:val="374"/>
        </w:trPr>
        <w:tc>
          <w:tcPr>
            <w:cnfStyle w:val="001000000000" w:firstRow="0" w:lastRow="0" w:firstColumn="1" w:lastColumn="0" w:oddVBand="0" w:evenVBand="0" w:oddHBand="0" w:evenHBand="0" w:firstRowFirstColumn="0" w:firstRowLastColumn="0" w:lastRowFirstColumn="0" w:lastRowLastColumn="0"/>
            <w:tcW w:w="1795" w:type="dxa"/>
          </w:tcPr>
          <w:p w14:paraId="01CEC18E" w14:textId="77777777" w:rsidR="00D375ED" w:rsidRDefault="00D375ED" w:rsidP="00D375ED">
            <w:pPr>
              <w:rPr>
                <w:b w:val="0"/>
                <w:bCs w:val="0"/>
                <w:sz w:val="22"/>
                <w:szCs w:val="22"/>
              </w:rPr>
            </w:pPr>
            <w:r>
              <w:rPr>
                <w:sz w:val="22"/>
                <w:szCs w:val="22"/>
              </w:rPr>
              <w:lastRenderedPageBreak/>
              <w:t>Medicare &amp; Medicaid Telehealth Flexibilities</w:t>
            </w:r>
          </w:p>
          <w:p w14:paraId="73E42193" w14:textId="77777777" w:rsidR="00D375ED" w:rsidRDefault="00D375ED" w:rsidP="00D375ED">
            <w:pPr>
              <w:rPr>
                <w:sz w:val="22"/>
                <w:szCs w:val="22"/>
              </w:rPr>
            </w:pPr>
            <w:r>
              <w:rPr>
                <w:b w:val="0"/>
                <w:bCs w:val="0"/>
                <w:i/>
                <w:iCs/>
                <w:sz w:val="22"/>
                <w:szCs w:val="22"/>
              </w:rPr>
              <w:t>CMS</w:t>
            </w:r>
          </w:p>
        </w:tc>
        <w:tc>
          <w:tcPr>
            <w:tcW w:w="3690" w:type="dxa"/>
            <w:gridSpan w:val="2"/>
          </w:tcPr>
          <w:p w14:paraId="11E8FF11"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COVID-19 has demonstrated that telehealth can increase access to primary, specialty and behavioral health services particularly in rural areas. </w:t>
            </w:r>
          </w:p>
          <w:p w14:paraId="328DE08E" w14:textId="77777777" w:rsidR="00F95EE5" w:rsidRDefault="00F95EE5"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07EC75F7" w14:textId="77777777" w:rsidR="00F95EE5" w:rsidRDefault="005469C0" w:rsidP="00D375E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CMS has confirmed in its State Medicaid/CHIP Telehealth toolkit that there </w:t>
            </w:r>
            <w:r w:rsidR="00F95EE5">
              <w:rPr>
                <w:sz w:val="21"/>
                <w:szCs w:val="21"/>
              </w:rPr>
              <w:t xml:space="preserve">is significant flexibility for States to allow telehealth services to be reimbursed in the same manner as in person services in the Medicaid program. </w:t>
            </w:r>
          </w:p>
          <w:p w14:paraId="1576380F" w14:textId="77777777" w:rsidR="005469C0" w:rsidRDefault="005469C0"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73515B2E" w14:textId="77777777" w:rsidR="005469C0" w:rsidRDefault="005469C0" w:rsidP="00D375E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The Medicare program has significant statutory restrictions on the provision of telehealth which CMS has been able to lift during the public health emergency but will return once it is over.</w:t>
            </w:r>
          </w:p>
          <w:p w14:paraId="1323FBB5" w14:textId="77777777" w:rsidR="00F95EE5" w:rsidRDefault="00F95EE5"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667C1C4D"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 xml:space="preserve">In the 2020 CMS Physician Fee Schedule Final Rule CMS added 60 additional services for Medicare telehealth reimbursement. </w:t>
            </w:r>
          </w:p>
          <w:p w14:paraId="4256B61A" w14:textId="77777777" w:rsidR="0027108A" w:rsidRDefault="0027108A"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1394CE27" w14:textId="77777777" w:rsidR="0027108A" w:rsidRDefault="0027108A" w:rsidP="00D375E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On November </w:t>
            </w:r>
            <w:r w:rsidR="007E138E">
              <w:rPr>
                <w:sz w:val="21"/>
                <w:szCs w:val="21"/>
              </w:rPr>
              <w:t>19</w:t>
            </w:r>
            <w:r>
              <w:rPr>
                <w:sz w:val="21"/>
                <w:szCs w:val="21"/>
              </w:rPr>
              <w:t xml:space="preserve">, 2021, CMS </w:t>
            </w:r>
            <w:r w:rsidR="007E138E">
              <w:rPr>
                <w:sz w:val="21"/>
                <w:szCs w:val="21"/>
              </w:rPr>
              <w:t>published</w:t>
            </w:r>
            <w:r>
              <w:rPr>
                <w:sz w:val="21"/>
                <w:szCs w:val="21"/>
              </w:rPr>
              <w:t xml:space="preserve"> a final rule</w:t>
            </w:r>
            <w:r w:rsidR="007E138E">
              <w:rPr>
                <w:sz w:val="21"/>
                <w:szCs w:val="21"/>
              </w:rPr>
              <w:t xml:space="preserve"> that retains </w:t>
            </w:r>
            <w:r w:rsidR="00EB0E39">
              <w:rPr>
                <w:sz w:val="21"/>
                <w:szCs w:val="21"/>
              </w:rPr>
              <w:t xml:space="preserve">Medicare </w:t>
            </w:r>
            <w:r w:rsidR="007E138E">
              <w:rPr>
                <w:sz w:val="21"/>
                <w:szCs w:val="21"/>
              </w:rPr>
              <w:t>telehealth service added during the pandemic through the end of CY 2023;</w:t>
            </w:r>
            <w:r w:rsidR="002C5DAF">
              <w:rPr>
                <w:sz w:val="21"/>
                <w:szCs w:val="21"/>
              </w:rPr>
              <w:t xml:space="preserve"> creates a longer virtual check-in service;</w:t>
            </w:r>
            <w:r w:rsidR="007E138E">
              <w:rPr>
                <w:sz w:val="21"/>
                <w:szCs w:val="21"/>
              </w:rPr>
              <w:t xml:space="preserve"> authorizes Rural Emergency Hospitals to be telehealth originating sites; </w:t>
            </w:r>
            <w:r w:rsidR="002C5DAF">
              <w:rPr>
                <w:sz w:val="21"/>
                <w:szCs w:val="21"/>
              </w:rPr>
              <w:t xml:space="preserve">requires in-person visits within 6 months of initiating service and every 12 months for mental health telehealth patients; authorizes the use of audio-only technology under certain circumstances for mental health visits where a home is the originating site; and allows payment for mental health telehealth visits at Rural Health Clinics and Federally Qualified Health Centers. </w:t>
            </w:r>
          </w:p>
          <w:p w14:paraId="4EB56551"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1FFCA247"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p>
          <w:p w14:paraId="39EA4D11"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r>
              <w:rPr>
                <w:b/>
                <w:i/>
                <w:sz w:val="21"/>
                <w:szCs w:val="21"/>
              </w:rPr>
              <w:t>Issue:</w:t>
            </w:r>
            <w:r>
              <w:rPr>
                <w:sz w:val="21"/>
                <w:szCs w:val="21"/>
              </w:rPr>
              <w:t xml:space="preserve"> Current rates</w:t>
            </w:r>
            <w:r w:rsidR="00887133">
              <w:rPr>
                <w:sz w:val="21"/>
                <w:szCs w:val="21"/>
              </w:rPr>
              <w:t xml:space="preserve"> for</w:t>
            </w:r>
            <w:r>
              <w:rPr>
                <w:sz w:val="21"/>
                <w:szCs w:val="21"/>
              </w:rPr>
              <w:t xml:space="preserve"> and </w:t>
            </w:r>
            <w:proofErr w:type="gramStart"/>
            <w:r w:rsidR="00887133">
              <w:rPr>
                <w:sz w:val="21"/>
                <w:szCs w:val="21"/>
              </w:rPr>
              <w:t>restrictions  related</w:t>
            </w:r>
            <w:proofErr w:type="gramEnd"/>
            <w:r w:rsidR="00887133">
              <w:rPr>
                <w:sz w:val="21"/>
                <w:szCs w:val="21"/>
              </w:rPr>
              <w:t xml:space="preserve"> to </w:t>
            </w:r>
            <w:r>
              <w:rPr>
                <w:sz w:val="21"/>
                <w:szCs w:val="21"/>
              </w:rPr>
              <w:t xml:space="preserve">providing telehealth are not sustainable, thus </w:t>
            </w:r>
            <w:r w:rsidR="00DD0D3F">
              <w:rPr>
                <w:sz w:val="21"/>
                <w:szCs w:val="21"/>
              </w:rPr>
              <w:t>Tribes</w:t>
            </w:r>
            <w:r>
              <w:rPr>
                <w:sz w:val="21"/>
                <w:szCs w:val="21"/>
              </w:rPr>
              <w:t xml:space="preserve"> are having to subsidize costs of providing services</w:t>
            </w:r>
            <w:r w:rsidR="00887133">
              <w:rPr>
                <w:sz w:val="21"/>
                <w:szCs w:val="21"/>
              </w:rPr>
              <w:t xml:space="preserve"> and patients have unnecessarily limited access to care</w:t>
            </w:r>
            <w:r>
              <w:rPr>
                <w:sz w:val="21"/>
                <w:szCs w:val="21"/>
              </w:rPr>
              <w:t>.</w:t>
            </w:r>
          </w:p>
          <w:p w14:paraId="6C9B65C2" w14:textId="77777777" w:rsidR="00D375ED" w:rsidRPr="00D375ED" w:rsidRDefault="00D375ED" w:rsidP="00D375ED">
            <w:pPr>
              <w:ind w:left="68"/>
              <w:cnfStyle w:val="000000000000" w:firstRow="0" w:lastRow="0" w:firstColumn="0" w:lastColumn="0" w:oddVBand="0" w:evenVBand="0" w:oddHBand="0" w:evenHBand="0" w:firstRowFirstColumn="0" w:firstRowLastColumn="0" w:lastRowFirstColumn="0" w:lastRowLastColumn="0"/>
              <w:rPr>
                <w:bCs/>
                <w:iCs/>
                <w:sz w:val="21"/>
                <w:szCs w:val="21"/>
              </w:rPr>
            </w:pPr>
          </w:p>
        </w:tc>
        <w:tc>
          <w:tcPr>
            <w:tcW w:w="4230" w:type="dxa"/>
          </w:tcPr>
          <w:p w14:paraId="209BA27D"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2"/>
                <w:szCs w:val="22"/>
              </w:rPr>
            </w:pPr>
            <w:r>
              <w:rPr>
                <w:b/>
                <w:i/>
                <w:sz w:val="22"/>
                <w:szCs w:val="22"/>
              </w:rPr>
              <w:lastRenderedPageBreak/>
              <w:t>Tribal Recommendations:</w:t>
            </w:r>
            <w:r>
              <w:rPr>
                <w:sz w:val="22"/>
                <w:szCs w:val="22"/>
              </w:rPr>
              <w:t xml:space="preserve"> </w:t>
            </w:r>
          </w:p>
          <w:p w14:paraId="0DB5552D"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Congress removing geographic and site of service restrictions on Medicare telehealth services;</w:t>
            </w:r>
          </w:p>
          <w:p w14:paraId="009168EE"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Congress expanding the types of providers that may bill for Medicare telehealth services;</w:t>
            </w:r>
          </w:p>
          <w:p w14:paraId="6573342C"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Congress allowing facilities to collect a fee when they are coordinating telehealth visits for patients in their homes;</w:t>
            </w:r>
          </w:p>
          <w:p w14:paraId="0FA5614B"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 xml:space="preserve">CMS permitting </w:t>
            </w:r>
            <w:r w:rsidR="002C5DAF">
              <w:rPr>
                <w:sz w:val="21"/>
                <w:szCs w:val="21"/>
              </w:rPr>
              <w:t xml:space="preserve">further expansion of </w:t>
            </w:r>
            <w:r w:rsidRPr="00D375ED">
              <w:rPr>
                <w:sz w:val="21"/>
                <w:szCs w:val="21"/>
              </w:rPr>
              <w:t>audio-only telecommunications systems to be used to deliver Medicare telehealth services, including audio-only telephones and two-way radios;</w:t>
            </w:r>
          </w:p>
          <w:p w14:paraId="56922900"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CMS ensuring that Medicare reimburses Indian health care providers for telehealth services at the OMB rate;</w:t>
            </w:r>
          </w:p>
          <w:p w14:paraId="403BCC07"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lastRenderedPageBreak/>
              <w:t xml:space="preserve">CMS permanently expanding, in consultation with </w:t>
            </w:r>
            <w:r w:rsidR="00DD0D3F">
              <w:rPr>
                <w:sz w:val="21"/>
                <w:szCs w:val="21"/>
              </w:rPr>
              <w:t>Tribes</w:t>
            </w:r>
            <w:r w:rsidRPr="00D375ED">
              <w:rPr>
                <w:sz w:val="21"/>
                <w:szCs w:val="21"/>
              </w:rPr>
              <w:t>, the types of services eligible for Medicare telehealth reimbursement;</w:t>
            </w:r>
          </w:p>
          <w:p w14:paraId="510EF904"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 xml:space="preserve">CMS </w:t>
            </w:r>
            <w:r w:rsidR="00034972">
              <w:rPr>
                <w:sz w:val="21"/>
                <w:szCs w:val="21"/>
              </w:rPr>
              <w:t>continuing to</w:t>
            </w:r>
            <w:r w:rsidR="00034972" w:rsidRPr="00D375ED">
              <w:rPr>
                <w:sz w:val="21"/>
                <w:szCs w:val="21"/>
              </w:rPr>
              <w:t xml:space="preserve"> </w:t>
            </w:r>
            <w:r w:rsidRPr="00D375ED">
              <w:rPr>
                <w:sz w:val="21"/>
                <w:szCs w:val="21"/>
              </w:rPr>
              <w:t xml:space="preserve">expand, in consultation with </w:t>
            </w:r>
            <w:r w:rsidR="00DD0D3F">
              <w:rPr>
                <w:sz w:val="21"/>
                <w:szCs w:val="21"/>
              </w:rPr>
              <w:t>Tribes</w:t>
            </w:r>
            <w:r w:rsidRPr="00D375ED">
              <w:rPr>
                <w:sz w:val="21"/>
                <w:szCs w:val="21"/>
              </w:rPr>
              <w:t xml:space="preserve">, the availability and sustainability of virtual check-ins and e-visits, </w:t>
            </w:r>
            <w:r>
              <w:t xml:space="preserve">including </w:t>
            </w:r>
            <w:r w:rsidRPr="00D375ED">
              <w:rPr>
                <w:sz w:val="21"/>
                <w:szCs w:val="21"/>
              </w:rPr>
              <w:t xml:space="preserve">allowing them for new patients; </w:t>
            </w:r>
          </w:p>
          <w:p w14:paraId="4673EB70" w14:textId="77777777" w:rsid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sidRPr="00D375ED">
              <w:rPr>
                <w:sz w:val="21"/>
                <w:szCs w:val="21"/>
              </w:rPr>
              <w:t>CMS permanently authorizing direct supervision requirements for services incident to a physician's services to be fulfilled using real-time interactive audio and video technology</w:t>
            </w:r>
            <w:r>
              <w:rPr>
                <w:sz w:val="21"/>
                <w:szCs w:val="21"/>
              </w:rPr>
              <w:t>; and</w:t>
            </w:r>
          </w:p>
          <w:p w14:paraId="681C117C" w14:textId="77777777" w:rsidR="00D375ED" w:rsidRPr="00D375ED" w:rsidRDefault="00D375ED" w:rsidP="00D375ED">
            <w:pPr>
              <w:pStyle w:val="ListParagraph"/>
              <w:numPr>
                <w:ilvl w:val="0"/>
                <w:numId w:val="29"/>
              </w:numPr>
              <w:spacing w:after="160" w:line="259" w:lineRule="auto"/>
              <w:ind w:left="247" w:hanging="247"/>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CMS i</w:t>
            </w:r>
            <w:r w:rsidRPr="00D375ED">
              <w:rPr>
                <w:sz w:val="21"/>
                <w:szCs w:val="21"/>
              </w:rPr>
              <w:t>ssue guidance to States confirming that they can authorize Medicaid reimbursement for telehealth services at the IHS OMB rates.</w:t>
            </w:r>
          </w:p>
          <w:p w14:paraId="17D7AE2C" w14:textId="77777777" w:rsidR="00D375ED" w:rsidRDefault="00D375ED" w:rsidP="00D375ED">
            <w:pPr>
              <w:cnfStyle w:val="000000000000" w:firstRow="0" w:lastRow="0" w:firstColumn="0" w:lastColumn="0" w:oddVBand="0" w:evenVBand="0" w:oddHBand="0" w:evenHBand="0" w:firstRowFirstColumn="0" w:firstRowLastColumn="0" w:lastRowFirstColumn="0" w:lastRowLastColumn="0"/>
              <w:rPr>
                <w:sz w:val="21"/>
                <w:szCs w:val="21"/>
              </w:rPr>
            </w:pPr>
            <w:r>
              <w:rPr>
                <w:b/>
                <w:i/>
                <w:iCs/>
                <w:sz w:val="22"/>
                <w:szCs w:val="22"/>
              </w:rPr>
              <w:t>TSGAC Actions:</w:t>
            </w:r>
          </w:p>
          <w:p w14:paraId="48418595" w14:textId="77777777" w:rsidR="00D375ED" w:rsidRPr="00767B56" w:rsidRDefault="00D375ED" w:rsidP="00767B56">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1"/>
                <w:szCs w:val="21"/>
              </w:rPr>
            </w:pPr>
            <w:r w:rsidRPr="00767B56">
              <w:rPr>
                <w:sz w:val="21"/>
                <w:szCs w:val="21"/>
              </w:rPr>
              <w:t>Creation of a Medicare Telehealth Brief highlighting new reimbursable services through the PHE and after the PHE.</w:t>
            </w:r>
            <w:r w:rsidR="00A13012" w:rsidRPr="00767B56">
              <w:rPr>
                <w:sz w:val="21"/>
                <w:szCs w:val="21"/>
              </w:rPr>
              <w:t xml:space="preserve"> Brief was created and shared with TSGAC and Self-Governance </w:t>
            </w:r>
            <w:r w:rsidR="00DD0D3F" w:rsidRPr="00767B56">
              <w:rPr>
                <w:sz w:val="21"/>
                <w:szCs w:val="21"/>
              </w:rPr>
              <w:t>Tribes</w:t>
            </w:r>
            <w:r w:rsidR="00A13012" w:rsidRPr="00767B56">
              <w:rPr>
                <w:sz w:val="21"/>
                <w:szCs w:val="21"/>
              </w:rPr>
              <w:t xml:space="preserve"> on July 12, 2021</w:t>
            </w:r>
            <w:r w:rsidR="00887133" w:rsidRPr="00767B56">
              <w:rPr>
                <w:sz w:val="21"/>
                <w:szCs w:val="21"/>
              </w:rPr>
              <w:t>.</w:t>
            </w:r>
          </w:p>
          <w:p w14:paraId="14AE766E" w14:textId="77777777" w:rsidR="00D375ED" w:rsidRPr="00D375ED" w:rsidRDefault="00D375ED" w:rsidP="00767B56">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Identify a list of Medicare telehealth services that must be in parity with face-to-face reimbursement.</w:t>
            </w:r>
          </w:p>
        </w:tc>
        <w:tc>
          <w:tcPr>
            <w:tcW w:w="3060" w:type="dxa"/>
          </w:tcPr>
          <w:p w14:paraId="04021083" w14:textId="77777777" w:rsidR="00D375ED" w:rsidRDefault="00D375ED" w:rsidP="00D375ED">
            <w:pPr>
              <w:pStyle w:val="ListParagraph"/>
              <w:numPr>
                <w:ilvl w:val="0"/>
                <w:numId w:val="17"/>
              </w:numPr>
              <w:ind w:left="158" w:right="-5" w:hanging="180"/>
              <w:cnfStyle w:val="000000000000" w:firstRow="0" w:lastRow="0" w:firstColumn="0" w:lastColumn="0" w:oddVBand="0" w:evenVBand="0" w:oddHBand="0" w:evenHBand="0" w:firstRowFirstColumn="0" w:firstRowLastColumn="0" w:lastRowFirstColumn="0" w:lastRowLastColumn="0"/>
              <w:rPr>
                <w:sz w:val="22"/>
              </w:rPr>
            </w:pPr>
            <w:r>
              <w:rPr>
                <w:b/>
                <w:color w:val="000000" w:themeColor="text1"/>
                <w:sz w:val="22"/>
                <w:szCs w:val="22"/>
              </w:rPr>
              <w:lastRenderedPageBreak/>
              <w:t xml:space="preserve">Telehealth Resources for Providers: </w:t>
            </w:r>
            <w:hyperlink r:id="rId13" w:history="1">
              <w:r>
                <w:rPr>
                  <w:rStyle w:val="Hyperlink"/>
                  <w:sz w:val="22"/>
                  <w:szCs w:val="22"/>
                </w:rPr>
                <w:t>https://www.telehealth.hhs.gov/providers/</w:t>
              </w:r>
            </w:hyperlink>
            <w:r>
              <w:rPr>
                <w:color w:val="000000" w:themeColor="text1"/>
                <w:sz w:val="22"/>
                <w:szCs w:val="22"/>
              </w:rPr>
              <w:t xml:space="preserve"> </w:t>
            </w:r>
          </w:p>
          <w:p w14:paraId="5E402E0E" w14:textId="77777777" w:rsidR="00D375ED" w:rsidRDefault="00D375ED" w:rsidP="00D375ED">
            <w:pPr>
              <w:pStyle w:val="ListParagraph"/>
              <w:numPr>
                <w:ilvl w:val="0"/>
                <w:numId w:val="17"/>
              </w:numPr>
              <w:ind w:left="158" w:right="-5" w:hanging="180"/>
              <w:cnfStyle w:val="000000000000" w:firstRow="0" w:lastRow="0" w:firstColumn="0" w:lastColumn="0" w:oddVBand="0" w:evenVBand="0" w:oddHBand="0" w:evenHBand="0" w:firstRowFirstColumn="0" w:firstRowLastColumn="0" w:lastRowFirstColumn="0" w:lastRowLastColumn="0"/>
              <w:rPr>
                <w:b/>
                <w:sz w:val="22"/>
              </w:rPr>
            </w:pPr>
            <w:r>
              <w:rPr>
                <w:b/>
                <w:sz w:val="22"/>
              </w:rPr>
              <w:t>Medicare Telehealth FAQs:</w:t>
            </w:r>
          </w:p>
          <w:p w14:paraId="5F33BF54" w14:textId="77777777" w:rsidR="00767B56" w:rsidRDefault="008D048B" w:rsidP="00767B56">
            <w:pPr>
              <w:pStyle w:val="ListParagraph"/>
              <w:ind w:left="158" w:right="-5"/>
              <w:cnfStyle w:val="000000000000" w:firstRow="0" w:lastRow="0" w:firstColumn="0" w:lastColumn="0" w:oddVBand="0" w:evenVBand="0" w:oddHBand="0" w:evenHBand="0" w:firstRowFirstColumn="0" w:firstRowLastColumn="0" w:lastRowFirstColumn="0" w:lastRowLastColumn="0"/>
            </w:pPr>
            <w:hyperlink r:id="rId14" w:history="1">
              <w:r w:rsidR="00D375ED" w:rsidRPr="005E3986">
                <w:rPr>
                  <w:rStyle w:val="Hyperlink"/>
                  <w:bCs/>
                  <w:sz w:val="22"/>
                </w:rPr>
                <w:t>https://www.cms.gov/files/document/medicare-telehealth-frequently-asked-questions-faqs-31720.pdf</w:t>
              </w:r>
            </w:hyperlink>
          </w:p>
          <w:p w14:paraId="5F3FD719" w14:textId="77777777" w:rsidR="00D375ED" w:rsidRPr="00767B56" w:rsidRDefault="00D375ED" w:rsidP="00AD4229">
            <w:pPr>
              <w:pStyle w:val="ListParagraph"/>
              <w:numPr>
                <w:ilvl w:val="0"/>
                <w:numId w:val="17"/>
              </w:numPr>
              <w:ind w:left="162" w:right="-5" w:hanging="162"/>
              <w:cnfStyle w:val="000000000000" w:firstRow="0" w:lastRow="0" w:firstColumn="0" w:lastColumn="0" w:oddVBand="0" w:evenVBand="0" w:oddHBand="0" w:evenHBand="0" w:firstRowFirstColumn="0" w:firstRowLastColumn="0" w:lastRowFirstColumn="0" w:lastRowLastColumn="0"/>
              <w:rPr>
                <w:bCs/>
                <w:sz w:val="22"/>
              </w:rPr>
            </w:pPr>
            <w:r w:rsidRPr="00767B56">
              <w:rPr>
                <w:b/>
                <w:bCs/>
                <w:sz w:val="22"/>
              </w:rPr>
              <w:t>Medicaid/CHIP</w:t>
            </w:r>
            <w:r w:rsidRPr="00767B56">
              <w:rPr>
                <w:b/>
                <w:sz w:val="22"/>
              </w:rPr>
              <w:t xml:space="preserve"> Telehealth Toolkit: </w:t>
            </w:r>
            <w:hyperlink r:id="rId15" w:history="1">
              <w:r w:rsidRPr="00767B56">
                <w:rPr>
                  <w:rStyle w:val="Hyperlink"/>
                  <w:sz w:val="22"/>
                </w:rPr>
                <w:t>https://www.medicaid.gov/medicaid/benefits/downloads/medicaid-chip-telehealth-toolkit.pdf</w:t>
              </w:r>
            </w:hyperlink>
          </w:p>
        </w:tc>
      </w:tr>
      <w:tr w:rsidR="00D375ED" w14:paraId="3BB73A8A" w14:textId="77777777" w:rsidTr="0002498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1795" w:type="dxa"/>
          </w:tcPr>
          <w:p w14:paraId="3FA15CDB" w14:textId="77777777" w:rsidR="00D375ED" w:rsidRDefault="00D375ED" w:rsidP="00D375ED">
            <w:pPr>
              <w:rPr>
                <w:b w:val="0"/>
                <w:bCs w:val="0"/>
                <w:sz w:val="22"/>
                <w:szCs w:val="22"/>
              </w:rPr>
            </w:pPr>
            <w:r>
              <w:rPr>
                <w:sz w:val="22"/>
                <w:szCs w:val="22"/>
              </w:rPr>
              <w:t>CHAP Nationalization</w:t>
            </w:r>
          </w:p>
          <w:p w14:paraId="2C741E84" w14:textId="77777777" w:rsidR="00D375ED" w:rsidRDefault="00D375ED" w:rsidP="00D375ED">
            <w:pPr>
              <w:rPr>
                <w:b w:val="0"/>
                <w:bCs w:val="0"/>
                <w:i/>
                <w:iCs/>
                <w:sz w:val="22"/>
                <w:szCs w:val="22"/>
              </w:rPr>
            </w:pPr>
            <w:r>
              <w:rPr>
                <w:b w:val="0"/>
                <w:bCs w:val="0"/>
                <w:i/>
                <w:iCs/>
                <w:sz w:val="22"/>
                <w:szCs w:val="22"/>
              </w:rPr>
              <w:t>IHS, HHS, CMS, SAMHSA, HRSA</w:t>
            </w:r>
          </w:p>
        </w:tc>
        <w:tc>
          <w:tcPr>
            <w:tcW w:w="3690" w:type="dxa"/>
            <w:gridSpan w:val="2"/>
          </w:tcPr>
          <w:p w14:paraId="7DC38970" w14:textId="77777777" w:rsidR="00D375ED" w:rsidRDefault="00D375ED" w:rsidP="00D375E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Initiation of tribal consultation on the use of $5M from FY 2020 appropriations (available until 9/30/21). Feedback requested:</w:t>
            </w:r>
          </w:p>
          <w:p w14:paraId="517C8592" w14:textId="77777777" w:rsidR="00D375ED" w:rsidRDefault="00D375ED" w:rsidP="00D375ED">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 xml:space="preserve">How funding can be used to support </w:t>
            </w:r>
            <w:r w:rsidR="00DD0D3F">
              <w:rPr>
                <w:sz w:val="21"/>
                <w:szCs w:val="21"/>
              </w:rPr>
              <w:t>Tribes</w:t>
            </w:r>
            <w:r>
              <w:rPr>
                <w:sz w:val="21"/>
                <w:szCs w:val="21"/>
              </w:rPr>
              <w:t xml:space="preserve"> to begin operating CHAP;</w:t>
            </w:r>
          </w:p>
          <w:p w14:paraId="311D23DB" w14:textId="77777777" w:rsidR="00D375ED" w:rsidRDefault="00D375ED" w:rsidP="00D375ED">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Development of National and Area Certification Boards;</w:t>
            </w:r>
          </w:p>
          <w:p w14:paraId="45F55F07" w14:textId="77777777" w:rsidR="00D375ED" w:rsidRDefault="00D375ED" w:rsidP="00D375ED">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Training investment; and</w:t>
            </w:r>
          </w:p>
          <w:p w14:paraId="714B5A8B" w14:textId="77777777" w:rsidR="003A3569" w:rsidRDefault="00D375ED" w:rsidP="003A3569">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Community education.</w:t>
            </w:r>
          </w:p>
          <w:p w14:paraId="72DD7FE1" w14:textId="77777777" w:rsidR="003A3569" w:rsidRDefault="003A3569" w:rsidP="003A3569">
            <w:pPr>
              <w:cnfStyle w:val="000000100000" w:firstRow="0" w:lastRow="0" w:firstColumn="0" w:lastColumn="0" w:oddVBand="0" w:evenVBand="0" w:oddHBand="1" w:evenHBand="0" w:firstRowFirstColumn="0" w:firstRowLastColumn="0" w:lastRowFirstColumn="0" w:lastRowLastColumn="0"/>
              <w:rPr>
                <w:sz w:val="21"/>
                <w:szCs w:val="21"/>
              </w:rPr>
            </w:pPr>
          </w:p>
          <w:p w14:paraId="367FBE78" w14:textId="77777777" w:rsidR="003A3569" w:rsidRPr="00856FDF" w:rsidRDefault="0000753D" w:rsidP="00856FDF">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CHAP Readiness Assessment Program being operated by IHS through a contractor.  </w:t>
            </w:r>
            <w:r w:rsidRPr="0000753D">
              <w:rPr>
                <w:rFonts w:ascii="Times New Roman" w:hAnsi="Times New Roman" w:cs="Times New Roman"/>
              </w:rPr>
              <w:t xml:space="preserve"> </w:t>
            </w:r>
            <w:r w:rsidRPr="0000753D">
              <w:rPr>
                <w:sz w:val="21"/>
                <w:szCs w:val="21"/>
              </w:rPr>
              <w:t>Contractor is working on a toolkit to address five key factors: training/ed; recruitment; reimbursement; staffing challenges; and roles.  Expected completion by FY 2022 end. </w:t>
            </w:r>
          </w:p>
        </w:tc>
        <w:tc>
          <w:tcPr>
            <w:tcW w:w="4230" w:type="dxa"/>
          </w:tcPr>
          <w:p w14:paraId="5DBAD271" w14:textId="77777777" w:rsidR="00D375ED" w:rsidRDefault="008D048B" w:rsidP="00D375E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6" w:history="1">
              <w:r w:rsidR="00D375ED">
                <w:rPr>
                  <w:rStyle w:val="Hyperlink"/>
                  <w:b/>
                  <w:bCs/>
                  <w:sz w:val="21"/>
                  <w:szCs w:val="21"/>
                </w:rPr>
                <w:t>DTLL: 9/21</w:t>
              </w:r>
            </w:hyperlink>
          </w:p>
          <w:p w14:paraId="63281283" w14:textId="77777777" w:rsidR="00D375ED" w:rsidRDefault="00D375ED" w:rsidP="00D375ED">
            <w:pPr>
              <w:cnfStyle w:val="000000100000" w:firstRow="0" w:lastRow="0" w:firstColumn="0" w:lastColumn="0" w:oddVBand="0" w:evenVBand="0" w:oddHBand="1" w:evenHBand="0" w:firstRowFirstColumn="0" w:firstRowLastColumn="0" w:lastRowFirstColumn="0" w:lastRowLastColumn="0"/>
              <w:rPr>
                <w:b/>
                <w:bCs/>
                <w:sz w:val="21"/>
                <w:szCs w:val="21"/>
              </w:rPr>
            </w:pPr>
          </w:p>
          <w:p w14:paraId="135B2726" w14:textId="77777777" w:rsidR="00D375ED" w:rsidRDefault="008D048B" w:rsidP="00D375E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7" w:history="1">
              <w:r w:rsidR="00D375ED">
                <w:rPr>
                  <w:rStyle w:val="Hyperlink"/>
                  <w:b/>
                  <w:bCs/>
                  <w:sz w:val="21"/>
                  <w:szCs w:val="21"/>
                </w:rPr>
                <w:t>CHAP Policy: 7/2</w:t>
              </w:r>
            </w:hyperlink>
          </w:p>
          <w:p w14:paraId="2AF9A470" w14:textId="77777777" w:rsidR="00D375ED" w:rsidRDefault="00D375ED" w:rsidP="00D375ED">
            <w:pPr>
              <w:pStyle w:val="ListParagraph"/>
              <w:cnfStyle w:val="000000100000" w:firstRow="0" w:lastRow="0" w:firstColumn="0" w:lastColumn="0" w:oddVBand="0" w:evenVBand="0" w:oddHBand="1" w:evenHBand="0" w:firstRowFirstColumn="0" w:firstRowLastColumn="0" w:lastRowFirstColumn="0" w:lastRowLastColumn="0"/>
              <w:rPr>
                <w:rStyle w:val="Hyperlink"/>
                <w:b/>
                <w:bCs/>
              </w:rPr>
            </w:pPr>
          </w:p>
          <w:p w14:paraId="4626290A"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11/20/2020 TSGAC submitted comments on the $5 million for national CHAP expansion.</w:t>
            </w:r>
          </w:p>
          <w:p w14:paraId="410141FE"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b/>
                <w:bCs/>
                <w:color w:val="C00000"/>
                <w:sz w:val="21"/>
                <w:szCs w:val="21"/>
              </w:rPr>
              <w:lastRenderedPageBreak/>
              <w:t>FOLLOW-UP</w:t>
            </w:r>
            <w:r>
              <w:rPr>
                <w:sz w:val="21"/>
                <w:szCs w:val="21"/>
              </w:rPr>
              <w:t>: Need for resources for training, certification and reimbursement</w:t>
            </w:r>
          </w:p>
          <w:p w14:paraId="684D938C" w14:textId="77777777" w:rsidR="00D375ED" w:rsidRDefault="00D375ED" w:rsidP="00D375ED">
            <w:pPr>
              <w:pStyle w:val="ListParagraph"/>
              <w:numPr>
                <w:ilvl w:val="0"/>
                <w:numId w:val="11"/>
              </w:numPr>
              <w:ind w:left="34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Inclusion of ISDEAA and Self-Governance </w:t>
            </w:r>
            <w:r w:rsidR="00DD0D3F">
              <w:rPr>
                <w:sz w:val="21"/>
                <w:szCs w:val="21"/>
              </w:rPr>
              <w:t>Tribes</w:t>
            </w:r>
            <w:r>
              <w:rPr>
                <w:sz w:val="21"/>
                <w:szCs w:val="21"/>
              </w:rPr>
              <w:t xml:space="preserve"> from the beginning.</w:t>
            </w:r>
          </w:p>
          <w:p w14:paraId="03225FBE" w14:textId="77777777" w:rsidR="00B46E92" w:rsidRDefault="00D375ED" w:rsidP="00B46E92">
            <w:pPr>
              <w:pStyle w:val="ListParagraph"/>
              <w:numPr>
                <w:ilvl w:val="0"/>
                <w:numId w:val="11"/>
              </w:numPr>
              <w:ind w:left="34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Creation of CHAP Brief for Self-Gov </w:t>
            </w:r>
            <w:r w:rsidR="00DD0D3F">
              <w:rPr>
                <w:sz w:val="21"/>
                <w:szCs w:val="21"/>
              </w:rPr>
              <w:t>Tribes</w:t>
            </w:r>
            <w:r>
              <w:rPr>
                <w:sz w:val="21"/>
                <w:szCs w:val="21"/>
              </w:rPr>
              <w:t>.</w:t>
            </w:r>
            <w:r w:rsidR="00A13012">
              <w:rPr>
                <w:sz w:val="21"/>
                <w:szCs w:val="21"/>
              </w:rPr>
              <w:t xml:space="preserve">  Brief was developed and shared on 9/27/2021.</w:t>
            </w:r>
          </w:p>
          <w:p w14:paraId="58BFB57E" w14:textId="77777777" w:rsidR="00B46E92" w:rsidRDefault="00F36CBC" w:rsidP="00856FDF">
            <w:pPr>
              <w:pStyle w:val="ListParagraph"/>
              <w:numPr>
                <w:ilvl w:val="0"/>
                <w:numId w:val="11"/>
              </w:numPr>
              <w:ind w:left="246"/>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IHS consulting and reporting progress on CHAP Readiness Assessment Program through the CHAP TAG.</w:t>
            </w:r>
          </w:p>
          <w:p w14:paraId="4DA288D4" w14:textId="77777777" w:rsidR="00B46E92" w:rsidRPr="00856FDF" w:rsidRDefault="00B46E92" w:rsidP="00856FDF">
            <w:pPr>
              <w:pStyle w:val="ListParagraph"/>
              <w:ind w:left="344"/>
              <w:cnfStyle w:val="000000100000" w:firstRow="0" w:lastRow="0" w:firstColumn="0" w:lastColumn="0" w:oddVBand="0" w:evenVBand="0" w:oddHBand="1" w:evenHBand="0" w:firstRowFirstColumn="0" w:firstRowLastColumn="0" w:lastRowFirstColumn="0" w:lastRowLastColumn="0"/>
              <w:rPr>
                <w:sz w:val="21"/>
                <w:szCs w:val="21"/>
              </w:rPr>
            </w:pPr>
          </w:p>
        </w:tc>
        <w:tc>
          <w:tcPr>
            <w:tcW w:w="3060" w:type="dxa"/>
          </w:tcPr>
          <w:p w14:paraId="6F6806A1"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National CHAP creation- Indian Health Manual Circular 20-06</w:t>
            </w:r>
          </w:p>
          <w:p w14:paraId="04D3319F"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IHCIA Sec.119: Authorizes the Secretary to establish a national CHAP.</w:t>
            </w:r>
          </w:p>
          <w:p w14:paraId="3523603A"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Sec.10221(b) of ACA allows use of DHATs when authorized under state law.</w:t>
            </w:r>
          </w:p>
          <w:p w14:paraId="292F6524"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Involve TSGAC before decisions are made.</w:t>
            </w:r>
          </w:p>
          <w:p w14:paraId="1A47E847" w14:textId="77777777" w:rsidR="00D375ED" w:rsidRDefault="00D375ED"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TSGAC submitted comments.</w:t>
            </w:r>
          </w:p>
          <w:p w14:paraId="53A6A93C" w14:textId="77777777" w:rsidR="000068E0" w:rsidRPr="00237EAD" w:rsidRDefault="00887424" w:rsidP="00D375ED">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IHS</w:t>
            </w:r>
            <w:r w:rsidR="007F0BD6">
              <w:rPr>
                <w:sz w:val="21"/>
                <w:szCs w:val="21"/>
              </w:rPr>
              <w:t xml:space="preserve"> has pledged to respond in writing to these issues</w:t>
            </w:r>
            <w:r>
              <w:rPr>
                <w:sz w:val="21"/>
                <w:szCs w:val="21"/>
              </w:rPr>
              <w:t>, but TSGAC has yet to receive a response.</w:t>
            </w:r>
          </w:p>
        </w:tc>
      </w:tr>
    </w:tbl>
    <w:p w14:paraId="7F4D8E81" w14:textId="77777777" w:rsidR="001E36A4" w:rsidRDefault="001E36A4"/>
    <w:tbl>
      <w:tblPr>
        <w:tblStyle w:val="GridTable4-Accent3"/>
        <w:tblpPr w:leftFromText="180" w:rightFromText="180" w:vertAnchor="page" w:horzAnchor="margin" w:tblpXSpec="center" w:tblpY="2668"/>
        <w:tblW w:w="12775" w:type="dxa"/>
        <w:tblLayout w:type="fixed"/>
        <w:tblLook w:val="04A0" w:firstRow="1" w:lastRow="0" w:firstColumn="1" w:lastColumn="0" w:noHBand="0" w:noVBand="1"/>
      </w:tblPr>
      <w:tblGrid>
        <w:gridCol w:w="1795"/>
        <w:gridCol w:w="3690"/>
        <w:gridCol w:w="4230"/>
        <w:gridCol w:w="3060"/>
      </w:tblGrid>
      <w:tr w:rsidR="00237EAD" w14:paraId="6A20FD2E" w14:textId="77777777" w:rsidTr="00237EAD">
        <w:trPr>
          <w:cnfStyle w:val="100000000000" w:firstRow="1" w:lastRow="0" w:firstColumn="0" w:lastColumn="0" w:oddVBand="0" w:evenVBand="0" w:oddHBand="0"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2775" w:type="dxa"/>
            <w:gridSpan w:val="4"/>
            <w:shd w:val="clear" w:color="auto" w:fill="D9E2F3" w:themeFill="accent1" w:themeFillTint="33"/>
          </w:tcPr>
          <w:p w14:paraId="5D60EAEA" w14:textId="77777777" w:rsidR="00237EAD" w:rsidRPr="00237EAD" w:rsidRDefault="00237EAD" w:rsidP="00237EAD">
            <w:pPr>
              <w:ind w:right="-196"/>
              <w:jc w:val="center"/>
              <w:rPr>
                <w:bCs w:val="0"/>
                <w:sz w:val="21"/>
                <w:szCs w:val="21"/>
              </w:rPr>
            </w:pPr>
            <w:r w:rsidRPr="00237EAD">
              <w:rPr>
                <w:bCs w:val="0"/>
                <w:color w:val="2F5496" w:themeColor="accent1" w:themeShade="BF"/>
                <w:sz w:val="21"/>
                <w:szCs w:val="21"/>
              </w:rPr>
              <w:lastRenderedPageBreak/>
              <w:t>MEDICARE PRIORITIES</w:t>
            </w:r>
          </w:p>
        </w:tc>
      </w:tr>
      <w:tr w:rsidR="00237EAD" w14:paraId="0BD8B234"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0E9DB650" w14:textId="77777777" w:rsidR="00237EAD" w:rsidRDefault="00237EAD" w:rsidP="00237EAD">
            <w:pPr>
              <w:rPr>
                <w:b w:val="0"/>
                <w:bCs w:val="0"/>
                <w:sz w:val="22"/>
                <w:szCs w:val="22"/>
              </w:rPr>
            </w:pPr>
            <w:r>
              <w:rPr>
                <w:sz w:val="22"/>
                <w:szCs w:val="22"/>
              </w:rPr>
              <w:t>Medicare Part C Payments by Medicare Advantage</w:t>
            </w:r>
          </w:p>
          <w:p w14:paraId="5367E46B" w14:textId="77777777" w:rsidR="00024984" w:rsidRPr="00024984" w:rsidRDefault="00024984" w:rsidP="00237EAD">
            <w:pPr>
              <w:rPr>
                <w:b w:val="0"/>
                <w:bCs w:val="0"/>
                <w:i/>
                <w:iCs/>
                <w:sz w:val="22"/>
                <w:szCs w:val="22"/>
              </w:rPr>
            </w:pPr>
            <w:r>
              <w:rPr>
                <w:b w:val="0"/>
                <w:bCs w:val="0"/>
                <w:i/>
                <w:iCs/>
                <w:sz w:val="22"/>
                <w:szCs w:val="22"/>
              </w:rPr>
              <w:t>CMS</w:t>
            </w:r>
          </w:p>
          <w:p w14:paraId="53B2B00A" w14:textId="77777777" w:rsidR="00237EAD" w:rsidRDefault="00237EAD" w:rsidP="00237EAD">
            <w:pPr>
              <w:rPr>
                <w:b w:val="0"/>
                <w:i/>
                <w:sz w:val="22"/>
                <w:szCs w:val="22"/>
              </w:rPr>
            </w:pPr>
          </w:p>
        </w:tc>
        <w:tc>
          <w:tcPr>
            <w:tcW w:w="3690" w:type="dxa"/>
          </w:tcPr>
          <w:p w14:paraId="0918614D" w14:textId="77777777" w:rsidR="00237EAD" w:rsidRDefault="00237EAD" w:rsidP="00237EAD">
            <w:pPr>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b/>
                <w:i/>
                <w:color w:val="000000" w:themeColor="text1"/>
                <w:sz w:val="21"/>
                <w:szCs w:val="22"/>
              </w:rPr>
              <w:t>Issue:</w:t>
            </w:r>
            <w:r>
              <w:rPr>
                <w:color w:val="000000" w:themeColor="text1"/>
                <w:sz w:val="21"/>
                <w:szCs w:val="22"/>
              </w:rPr>
              <w:t xml:space="preserve"> Medicare Advantage plans are not reimbursing IHCPs at the IHS OMB rates, and often refuse to reimburse at all.  </w:t>
            </w:r>
          </w:p>
          <w:p w14:paraId="07598F82" w14:textId="77777777" w:rsidR="00237EAD" w:rsidRDefault="00237EAD" w:rsidP="00237EAD">
            <w:pPr>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p>
          <w:p w14:paraId="11E31B1D" w14:textId="77777777" w:rsidR="007E4763" w:rsidRDefault="00237EAD" w:rsidP="00237EAD">
            <w:pPr>
              <w:cnfStyle w:val="000000100000" w:firstRow="0" w:lastRow="0" w:firstColumn="0" w:lastColumn="0" w:oddVBand="0" w:evenVBand="0" w:oddHBand="1" w:evenHBand="0" w:firstRowFirstColumn="0" w:firstRowLastColumn="0" w:lastRowFirstColumn="0" w:lastRowLastColumn="0"/>
              <w:rPr>
                <w:sz w:val="21"/>
                <w:szCs w:val="21"/>
              </w:rPr>
            </w:pPr>
            <w:r>
              <w:rPr>
                <w:b/>
                <w:i/>
                <w:sz w:val="21"/>
                <w:szCs w:val="21"/>
              </w:rPr>
              <w:t xml:space="preserve">Issue: </w:t>
            </w:r>
            <w:r>
              <w:rPr>
                <w:sz w:val="21"/>
                <w:szCs w:val="21"/>
              </w:rPr>
              <w:t>According to CMS, if the provider is a closed HMO (like Kaiser) then the HMO does not have to pay. However, if the provider is a PPO managed care entity then they pay BUT at the contract rate.  According to CMS</w:t>
            </w:r>
            <w:r w:rsidR="001853B6">
              <w:rPr>
                <w:sz w:val="21"/>
                <w:szCs w:val="21"/>
              </w:rPr>
              <w:t xml:space="preserve"> staff</w:t>
            </w:r>
            <w:r>
              <w:rPr>
                <w:sz w:val="21"/>
                <w:szCs w:val="21"/>
              </w:rPr>
              <w:t>, Section 206 gives the Tribe the right to be reimbursed, but they are working on at what rate</w:t>
            </w:r>
          </w:p>
          <w:p w14:paraId="5093D371" w14:textId="77777777" w:rsidR="007E4763" w:rsidRDefault="007E4763" w:rsidP="00237EAD">
            <w:pPr>
              <w:cnfStyle w:val="000000100000" w:firstRow="0" w:lastRow="0" w:firstColumn="0" w:lastColumn="0" w:oddVBand="0" w:evenVBand="0" w:oddHBand="1" w:evenHBand="0" w:firstRowFirstColumn="0" w:firstRowLastColumn="0" w:lastRowFirstColumn="0" w:lastRowLastColumn="0"/>
              <w:rPr>
                <w:sz w:val="21"/>
                <w:szCs w:val="21"/>
              </w:rPr>
            </w:pPr>
          </w:p>
          <w:p w14:paraId="522380D3" w14:textId="77777777" w:rsidR="007E4763" w:rsidRPr="007E4763" w:rsidRDefault="007E4763" w:rsidP="00237EAD">
            <w:pPr>
              <w:cnfStyle w:val="000000100000" w:firstRow="0" w:lastRow="0" w:firstColumn="0" w:lastColumn="0" w:oddVBand="0" w:evenVBand="0" w:oddHBand="1" w:evenHBand="0" w:firstRowFirstColumn="0" w:firstRowLastColumn="0" w:lastRowFirstColumn="0" w:lastRowLastColumn="0"/>
              <w:rPr>
                <w:sz w:val="21"/>
                <w:szCs w:val="21"/>
              </w:rPr>
            </w:pPr>
            <w:r>
              <w:rPr>
                <w:b/>
                <w:bCs/>
                <w:i/>
                <w:iCs/>
                <w:sz w:val="21"/>
                <w:szCs w:val="21"/>
              </w:rPr>
              <w:t xml:space="preserve">Issue: </w:t>
            </w:r>
            <w:r>
              <w:rPr>
                <w:sz w:val="21"/>
                <w:szCs w:val="21"/>
              </w:rPr>
              <w:t>The TTAG has discussed the predatory enrollment of AI/AN elders by Part C plans. Once tribal elders are switched to part C plans, many are ineligible for PRC</w:t>
            </w:r>
            <w:r w:rsidR="00C02CA3">
              <w:rPr>
                <w:sz w:val="21"/>
                <w:szCs w:val="21"/>
              </w:rPr>
              <w:t xml:space="preserve"> if the Part C plan directs them to get primary care services from a non-tribal provider</w:t>
            </w:r>
            <w:r>
              <w:rPr>
                <w:sz w:val="21"/>
                <w:szCs w:val="21"/>
              </w:rPr>
              <w:t xml:space="preserve">. </w:t>
            </w:r>
          </w:p>
          <w:p w14:paraId="3711F246" w14:textId="77777777" w:rsidR="00237EAD" w:rsidRPr="00237EAD" w:rsidRDefault="00237EAD" w:rsidP="00237EAD">
            <w:pPr>
              <w:cnfStyle w:val="000000100000" w:firstRow="0" w:lastRow="0" w:firstColumn="0" w:lastColumn="0" w:oddVBand="0" w:evenVBand="0" w:oddHBand="1" w:evenHBand="0" w:firstRowFirstColumn="0" w:firstRowLastColumn="0" w:lastRowFirstColumn="0" w:lastRowLastColumn="0"/>
              <w:rPr>
                <w:sz w:val="21"/>
                <w:szCs w:val="21"/>
              </w:rPr>
            </w:pPr>
          </w:p>
          <w:p w14:paraId="4688362E" w14:textId="77777777" w:rsidR="00237EAD" w:rsidRPr="00990B04" w:rsidRDefault="00237EAD" w:rsidP="00237EAD">
            <w:pPr>
              <w:cnfStyle w:val="000000100000" w:firstRow="0" w:lastRow="0" w:firstColumn="0" w:lastColumn="0" w:oddVBand="0" w:evenVBand="0" w:oddHBand="1" w:evenHBand="0" w:firstRowFirstColumn="0" w:firstRowLastColumn="0" w:lastRowFirstColumn="0" w:lastRowLastColumn="0"/>
              <w:rPr>
                <w:sz w:val="21"/>
                <w:szCs w:val="21"/>
              </w:rPr>
            </w:pPr>
          </w:p>
          <w:p w14:paraId="729358E0" w14:textId="77777777" w:rsidR="00237EAD" w:rsidRDefault="00237EAD" w:rsidP="00237EAD">
            <w:pPr>
              <w:cnfStyle w:val="000000100000" w:firstRow="0" w:lastRow="0" w:firstColumn="0" w:lastColumn="0" w:oddVBand="0" w:evenVBand="0" w:oddHBand="1" w:evenHBand="0" w:firstRowFirstColumn="0" w:firstRowLastColumn="0" w:lastRowFirstColumn="0" w:lastRowLastColumn="0"/>
              <w:rPr>
                <w:sz w:val="21"/>
                <w:szCs w:val="21"/>
              </w:rPr>
            </w:pPr>
          </w:p>
        </w:tc>
        <w:tc>
          <w:tcPr>
            <w:tcW w:w="4230" w:type="dxa"/>
          </w:tcPr>
          <w:p w14:paraId="19C5853C" w14:textId="77777777" w:rsidR="00237EAD" w:rsidRDefault="00237EAD" w:rsidP="00237EAD">
            <w:pPr>
              <w:cnfStyle w:val="000000100000" w:firstRow="0" w:lastRow="0" w:firstColumn="0" w:lastColumn="0" w:oddVBand="0" w:evenVBand="0" w:oddHBand="1" w:evenHBand="0" w:firstRowFirstColumn="0" w:firstRowLastColumn="0" w:lastRowFirstColumn="0" w:lastRowLastColumn="0"/>
              <w:rPr>
                <w:sz w:val="21"/>
              </w:rPr>
            </w:pPr>
            <w:r>
              <w:rPr>
                <w:b/>
                <w:i/>
                <w:color w:val="000000" w:themeColor="text1"/>
                <w:sz w:val="21"/>
                <w:szCs w:val="22"/>
              </w:rPr>
              <w:t>Tribal Recommendations:</w:t>
            </w:r>
            <w:r>
              <w:rPr>
                <w:color w:val="000000" w:themeColor="text1"/>
                <w:sz w:val="21"/>
                <w:szCs w:val="22"/>
              </w:rPr>
              <w:t xml:space="preserve"> </w:t>
            </w:r>
          </w:p>
          <w:p w14:paraId="49950C03" w14:textId="77777777" w:rsidR="00237EAD" w:rsidRDefault="00237EAD" w:rsidP="00237EAD">
            <w:pPr>
              <w:pStyle w:val="ListParagraph"/>
              <w:numPr>
                <w:ilvl w:val="0"/>
                <w:numId w:val="32"/>
              </w:numPr>
              <w:ind w:left="354" w:hanging="270"/>
              <w:cnfStyle w:val="000000100000" w:firstRow="0" w:lastRow="0" w:firstColumn="0" w:lastColumn="0" w:oddVBand="0" w:evenVBand="0" w:oddHBand="1" w:evenHBand="0" w:firstRowFirstColumn="0" w:firstRowLastColumn="0" w:lastRowFirstColumn="0" w:lastRowLastColumn="0"/>
              <w:rPr>
                <w:sz w:val="21"/>
              </w:rPr>
            </w:pPr>
            <w:r>
              <w:rPr>
                <w:color w:val="000000" w:themeColor="text1"/>
                <w:sz w:val="21"/>
                <w:szCs w:val="22"/>
              </w:rPr>
              <w:t>Can we require the Medicare Advantage (MA) plans to pay the OMB rate?</w:t>
            </w:r>
          </w:p>
          <w:p w14:paraId="75FAB849" w14:textId="77777777" w:rsidR="00237EAD" w:rsidRPr="00237EAD" w:rsidRDefault="00DD0D3F" w:rsidP="00237EAD">
            <w:pPr>
              <w:pStyle w:val="ListParagraph"/>
              <w:numPr>
                <w:ilvl w:val="0"/>
                <w:numId w:val="32"/>
              </w:numPr>
              <w:ind w:left="354" w:hanging="270"/>
              <w:cnfStyle w:val="000000100000" w:firstRow="0" w:lastRow="0" w:firstColumn="0" w:lastColumn="0" w:oddVBand="0" w:evenVBand="0" w:oddHBand="1" w:evenHBand="0" w:firstRowFirstColumn="0" w:firstRowLastColumn="0" w:lastRowFirstColumn="0" w:lastRowLastColumn="0"/>
              <w:rPr>
                <w:sz w:val="21"/>
              </w:rPr>
            </w:pPr>
            <w:r>
              <w:rPr>
                <w:color w:val="000000" w:themeColor="text1"/>
                <w:sz w:val="21"/>
                <w:szCs w:val="22"/>
              </w:rPr>
              <w:t>Tribes</w:t>
            </w:r>
            <w:r w:rsidR="00237EAD">
              <w:rPr>
                <w:color w:val="000000" w:themeColor="text1"/>
                <w:sz w:val="21"/>
                <w:szCs w:val="22"/>
              </w:rPr>
              <w:t xml:space="preserve"> have the right of recovery under IHCIA Sec. 206. Request to revisit the issue with OGC and IHS.</w:t>
            </w:r>
          </w:p>
          <w:p w14:paraId="2E7CC99F" w14:textId="77777777" w:rsidR="00237EAD" w:rsidRDefault="00237EAD" w:rsidP="00237EAD">
            <w:pPr>
              <w:pStyle w:val="ListParagraph"/>
              <w:ind w:left="354"/>
              <w:cnfStyle w:val="000000100000" w:firstRow="0" w:lastRow="0" w:firstColumn="0" w:lastColumn="0" w:oddVBand="0" w:evenVBand="0" w:oddHBand="1" w:evenHBand="0" w:firstRowFirstColumn="0" w:firstRowLastColumn="0" w:lastRowFirstColumn="0" w:lastRowLastColumn="0"/>
              <w:rPr>
                <w:sz w:val="21"/>
              </w:rPr>
            </w:pPr>
          </w:p>
          <w:p w14:paraId="044FB168" w14:textId="77777777" w:rsidR="00237EAD" w:rsidRDefault="00237EAD" w:rsidP="00237EAD">
            <w:pPr>
              <w:cnfStyle w:val="000000100000" w:firstRow="0" w:lastRow="0" w:firstColumn="0" w:lastColumn="0" w:oddVBand="0" w:evenVBand="0" w:oddHBand="1" w:evenHBand="0" w:firstRowFirstColumn="0" w:firstRowLastColumn="0" w:lastRowFirstColumn="0" w:lastRowLastColumn="0"/>
              <w:rPr>
                <w:sz w:val="21"/>
              </w:rPr>
            </w:pPr>
            <w:r>
              <w:rPr>
                <w:b/>
                <w:i/>
                <w:iCs/>
                <w:sz w:val="22"/>
                <w:szCs w:val="22"/>
              </w:rPr>
              <w:t>TSGAC Actions:</w:t>
            </w:r>
          </w:p>
          <w:p w14:paraId="005591B1" w14:textId="77777777" w:rsidR="00237EAD" w:rsidRDefault="00237EAD" w:rsidP="00237EAD">
            <w:pPr>
              <w:pStyle w:val="ListParagraph"/>
              <w:numPr>
                <w:ilvl w:val="0"/>
                <w:numId w:val="33"/>
              </w:numPr>
              <w:ind w:left="444"/>
              <w:cnfStyle w:val="000000100000" w:firstRow="0" w:lastRow="0" w:firstColumn="0" w:lastColumn="0" w:oddVBand="0" w:evenVBand="0" w:oddHBand="1" w:evenHBand="0" w:firstRowFirstColumn="0" w:firstRowLastColumn="0" w:lastRowFirstColumn="0" w:lastRowLastColumn="0"/>
              <w:rPr>
                <w:bCs/>
                <w:iCs/>
                <w:color w:val="000000" w:themeColor="text1"/>
                <w:sz w:val="22"/>
              </w:rPr>
            </w:pPr>
            <w:r>
              <w:rPr>
                <w:bCs/>
                <w:iCs/>
                <w:color w:val="000000" w:themeColor="text1"/>
                <w:sz w:val="22"/>
              </w:rPr>
              <w:t>Request that OGC and IHS look at this issue to see if we can require payment at the OMB rate and if there is a statutory fix needed.</w:t>
            </w:r>
          </w:p>
          <w:p w14:paraId="6DC2DB89" w14:textId="77777777" w:rsidR="00237EAD" w:rsidRDefault="00237EAD" w:rsidP="00237EAD">
            <w:pPr>
              <w:pStyle w:val="ListParagraph"/>
              <w:numPr>
                <w:ilvl w:val="0"/>
                <w:numId w:val="33"/>
              </w:numPr>
              <w:ind w:left="444"/>
              <w:cnfStyle w:val="000000100000" w:firstRow="0" w:lastRow="0" w:firstColumn="0" w:lastColumn="0" w:oddVBand="0" w:evenVBand="0" w:oddHBand="1" w:evenHBand="0" w:firstRowFirstColumn="0" w:firstRowLastColumn="0" w:lastRowFirstColumn="0" w:lastRowLastColumn="0"/>
              <w:rPr>
                <w:bCs/>
                <w:iCs/>
                <w:color w:val="000000" w:themeColor="text1"/>
                <w:sz w:val="22"/>
              </w:rPr>
            </w:pPr>
            <w:r>
              <w:rPr>
                <w:bCs/>
                <w:iCs/>
                <w:color w:val="000000" w:themeColor="text1"/>
                <w:sz w:val="22"/>
              </w:rPr>
              <w:t xml:space="preserve">Request for CMS to create </w:t>
            </w:r>
            <w:proofErr w:type="gramStart"/>
            <w:r>
              <w:rPr>
                <w:bCs/>
                <w:iCs/>
                <w:color w:val="000000" w:themeColor="text1"/>
                <w:sz w:val="22"/>
              </w:rPr>
              <w:t>guidance</w:t>
            </w:r>
            <w:r w:rsidR="00024984">
              <w:rPr>
                <w:bCs/>
                <w:iCs/>
                <w:color w:val="000000" w:themeColor="text1"/>
                <w:sz w:val="22"/>
              </w:rPr>
              <w:t xml:space="preserve"> </w:t>
            </w:r>
            <w:r>
              <w:rPr>
                <w:bCs/>
                <w:iCs/>
                <w:color w:val="000000" w:themeColor="text1"/>
                <w:sz w:val="22"/>
              </w:rPr>
              <w:t xml:space="preserve"> for</w:t>
            </w:r>
            <w:proofErr w:type="gramEnd"/>
            <w:r>
              <w:rPr>
                <w:bCs/>
                <w:iCs/>
                <w:color w:val="000000" w:themeColor="text1"/>
                <w:sz w:val="22"/>
              </w:rPr>
              <w:t xml:space="preserve"> reimbursement to </w:t>
            </w:r>
            <w:r w:rsidR="00DD0D3F">
              <w:rPr>
                <w:bCs/>
                <w:iCs/>
                <w:color w:val="000000" w:themeColor="text1"/>
                <w:sz w:val="22"/>
              </w:rPr>
              <w:t>Tribes</w:t>
            </w:r>
            <w:r>
              <w:rPr>
                <w:bCs/>
                <w:iCs/>
                <w:color w:val="000000" w:themeColor="text1"/>
                <w:sz w:val="22"/>
              </w:rPr>
              <w:t xml:space="preserve"> on MA plans.</w:t>
            </w:r>
          </w:p>
          <w:p w14:paraId="676D055D" w14:textId="77777777" w:rsidR="007E4763" w:rsidRPr="00887424" w:rsidRDefault="00237EAD" w:rsidP="007E4763">
            <w:pPr>
              <w:pStyle w:val="ListParagraph"/>
              <w:numPr>
                <w:ilvl w:val="0"/>
                <w:numId w:val="33"/>
              </w:numPr>
              <w:ind w:left="444"/>
              <w:cnfStyle w:val="000000100000" w:firstRow="0" w:lastRow="0" w:firstColumn="0" w:lastColumn="0" w:oddVBand="0" w:evenVBand="0" w:oddHBand="1" w:evenHBand="0" w:firstRowFirstColumn="0" w:firstRowLastColumn="0" w:lastRowFirstColumn="0" w:lastRowLastColumn="0"/>
              <w:rPr>
                <w:bCs/>
                <w:iCs/>
                <w:color w:val="000000" w:themeColor="text1"/>
                <w:sz w:val="22"/>
              </w:rPr>
            </w:pPr>
            <w:r w:rsidRPr="00237EAD">
              <w:rPr>
                <w:bCs/>
                <w:iCs/>
                <w:color w:val="000000" w:themeColor="text1"/>
                <w:sz w:val="22"/>
              </w:rPr>
              <w:t xml:space="preserve">Request development of an </w:t>
            </w:r>
            <w:r w:rsidR="00024984">
              <w:rPr>
                <w:bCs/>
                <w:iCs/>
                <w:color w:val="000000" w:themeColor="text1"/>
                <w:sz w:val="22"/>
              </w:rPr>
              <w:t xml:space="preserve">I/T/U </w:t>
            </w:r>
            <w:r w:rsidRPr="00237EAD">
              <w:rPr>
                <w:bCs/>
                <w:iCs/>
                <w:color w:val="000000" w:themeColor="text1"/>
                <w:sz w:val="22"/>
              </w:rPr>
              <w:t xml:space="preserve">addendum for </w:t>
            </w:r>
            <w:r w:rsidR="00DD0D3F">
              <w:rPr>
                <w:bCs/>
                <w:iCs/>
                <w:color w:val="000000" w:themeColor="text1"/>
                <w:sz w:val="22"/>
              </w:rPr>
              <w:t>Tribes</w:t>
            </w:r>
            <w:r w:rsidRPr="00237EAD">
              <w:rPr>
                <w:bCs/>
                <w:iCs/>
                <w:color w:val="000000" w:themeColor="text1"/>
                <w:sz w:val="22"/>
              </w:rPr>
              <w:t xml:space="preserve"> to negotiate a rate and be included in the plan network to encourage.</w:t>
            </w:r>
          </w:p>
          <w:p w14:paraId="5C73ACE8" w14:textId="77777777" w:rsidR="007E4763" w:rsidRPr="00887424" w:rsidRDefault="007E4763" w:rsidP="007E4763">
            <w:pPr>
              <w:pStyle w:val="ListParagraph"/>
              <w:numPr>
                <w:ilvl w:val="0"/>
                <w:numId w:val="33"/>
              </w:numPr>
              <w:ind w:left="444"/>
              <w:cnfStyle w:val="000000100000" w:firstRow="0" w:lastRow="0" w:firstColumn="0" w:lastColumn="0" w:oddVBand="0" w:evenVBand="0" w:oddHBand="1" w:evenHBand="0" w:firstRowFirstColumn="0" w:firstRowLastColumn="0" w:lastRowFirstColumn="0" w:lastRowLastColumn="0"/>
              <w:rPr>
                <w:bCs/>
                <w:iCs/>
                <w:color w:val="000000" w:themeColor="text1"/>
                <w:sz w:val="22"/>
              </w:rPr>
            </w:pPr>
            <w:r>
              <w:rPr>
                <w:bCs/>
                <w:iCs/>
                <w:color w:val="000000" w:themeColor="text1"/>
                <w:sz w:val="22"/>
              </w:rPr>
              <w:t xml:space="preserve">Follow up with Christine Reinhard, DSCM, MCAG, from CMS who committed to looking into issues with predatory enrollment of elders. </w:t>
            </w:r>
          </w:p>
        </w:tc>
        <w:tc>
          <w:tcPr>
            <w:tcW w:w="3060" w:type="dxa"/>
          </w:tcPr>
          <w:p w14:paraId="5CBD1E3D" w14:textId="77777777" w:rsidR="00237EAD" w:rsidRDefault="00237EAD" w:rsidP="00237EAD">
            <w:pPr>
              <w:ind w:right="-196"/>
              <w:cnfStyle w:val="000000100000" w:firstRow="0" w:lastRow="0" w:firstColumn="0" w:lastColumn="0" w:oddVBand="0" w:evenVBand="0" w:oddHBand="1" w:evenHBand="0" w:firstRowFirstColumn="0" w:firstRowLastColumn="0" w:lastRowFirstColumn="0" w:lastRowLastColumn="0"/>
              <w:rPr>
                <w:b/>
                <w:sz w:val="21"/>
                <w:szCs w:val="21"/>
              </w:rPr>
            </w:pPr>
          </w:p>
          <w:p w14:paraId="5E3E01D2" w14:textId="77777777" w:rsidR="00237EAD" w:rsidRPr="00887424" w:rsidRDefault="007E4763" w:rsidP="00856FD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Staff who work on Part C policy went over these issues with the TTAG and reported there will be a follow-up call with Part C staff</w:t>
            </w:r>
            <w:r w:rsidR="00044190">
              <w:rPr>
                <w:color w:val="000000" w:themeColor="text1"/>
                <w:sz w:val="22"/>
                <w:szCs w:val="22"/>
              </w:rPr>
              <w:t xml:space="preserve"> and CMS Tribal Affairs</w:t>
            </w:r>
            <w:r>
              <w:rPr>
                <w:color w:val="000000" w:themeColor="text1"/>
                <w:sz w:val="22"/>
                <w:szCs w:val="22"/>
              </w:rPr>
              <w:t xml:space="preserve"> to find a policy solution.</w:t>
            </w:r>
          </w:p>
        </w:tc>
      </w:tr>
      <w:tr w:rsidR="00024984" w14:paraId="2BF2561A" w14:textId="77777777" w:rsidTr="00024984">
        <w:trPr>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1339315C" w14:textId="77777777" w:rsidR="00024984" w:rsidRDefault="00024984" w:rsidP="00237EAD">
            <w:pPr>
              <w:rPr>
                <w:b w:val="0"/>
                <w:bCs w:val="0"/>
                <w:sz w:val="22"/>
                <w:szCs w:val="22"/>
              </w:rPr>
            </w:pPr>
            <w:r>
              <w:rPr>
                <w:sz w:val="22"/>
                <w:szCs w:val="22"/>
              </w:rPr>
              <w:t>Medicare Part D Reimbursement</w:t>
            </w:r>
          </w:p>
          <w:p w14:paraId="1427604E" w14:textId="77777777" w:rsidR="00024984" w:rsidRPr="00024984" w:rsidRDefault="00024984" w:rsidP="00237EAD">
            <w:pPr>
              <w:rPr>
                <w:b w:val="0"/>
                <w:bCs w:val="0"/>
                <w:i/>
                <w:iCs/>
                <w:sz w:val="22"/>
                <w:szCs w:val="22"/>
              </w:rPr>
            </w:pPr>
            <w:r>
              <w:rPr>
                <w:b w:val="0"/>
                <w:bCs w:val="0"/>
                <w:i/>
                <w:iCs/>
                <w:sz w:val="22"/>
                <w:szCs w:val="22"/>
              </w:rPr>
              <w:t>CMS</w:t>
            </w:r>
          </w:p>
        </w:tc>
        <w:tc>
          <w:tcPr>
            <w:tcW w:w="3690" w:type="dxa"/>
          </w:tcPr>
          <w:p w14:paraId="45A6478F"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color w:val="000000" w:themeColor="text1"/>
                <w:sz w:val="21"/>
                <w:szCs w:val="22"/>
              </w:rPr>
            </w:pPr>
            <w:r>
              <w:rPr>
                <w:b/>
                <w:i/>
                <w:color w:val="000000" w:themeColor="text1"/>
                <w:sz w:val="21"/>
                <w:szCs w:val="22"/>
              </w:rPr>
              <w:t xml:space="preserve">Issue: </w:t>
            </w:r>
            <w:r>
              <w:rPr>
                <w:color w:val="000000" w:themeColor="text1"/>
                <w:sz w:val="21"/>
                <w:szCs w:val="22"/>
              </w:rPr>
              <w:t>Medicare Part D claims being denied as non-payable claims, which impacts compliance on DIR fees for standards of care then cascades to program fees on compliance.</w:t>
            </w:r>
          </w:p>
          <w:p w14:paraId="17140DC5"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color w:val="000000" w:themeColor="text1"/>
                <w:sz w:val="21"/>
                <w:szCs w:val="22"/>
              </w:rPr>
            </w:pPr>
          </w:p>
          <w:p w14:paraId="776109B7" w14:textId="77777777" w:rsidR="00024984" w:rsidRDefault="00024984" w:rsidP="00024984">
            <w:pPr>
              <w:ind w:hanging="18"/>
              <w:cnfStyle w:val="000000000000" w:firstRow="0" w:lastRow="0" w:firstColumn="0" w:lastColumn="0" w:oddVBand="0" w:evenVBand="0" w:oddHBand="0" w:evenHBand="0" w:firstRowFirstColumn="0" w:firstRowLastColumn="0" w:lastRowFirstColumn="0" w:lastRowLastColumn="0"/>
              <w:rPr>
                <w:color w:val="000000" w:themeColor="text1"/>
                <w:sz w:val="21"/>
                <w:szCs w:val="22"/>
              </w:rPr>
            </w:pPr>
            <w:r>
              <w:rPr>
                <w:b/>
                <w:i/>
                <w:color w:val="000000" w:themeColor="text1"/>
                <w:sz w:val="21"/>
                <w:szCs w:val="22"/>
              </w:rPr>
              <w:t>Issue:</w:t>
            </w:r>
            <w:r>
              <w:rPr>
                <w:color w:val="000000" w:themeColor="text1"/>
                <w:sz w:val="21"/>
                <w:szCs w:val="22"/>
              </w:rPr>
              <w:t xml:space="preserve"> Problematic on how the standards of care are gathered on how Tribal pharmacies provide Part D medications.</w:t>
            </w:r>
          </w:p>
          <w:p w14:paraId="60BEB8CD" w14:textId="77777777" w:rsidR="00024984" w:rsidRPr="00024984" w:rsidRDefault="00024984" w:rsidP="00024984">
            <w:pPr>
              <w:cnfStyle w:val="000000000000" w:firstRow="0" w:lastRow="0" w:firstColumn="0" w:lastColumn="0" w:oddVBand="0" w:evenVBand="0" w:oddHBand="0" w:evenHBand="0" w:firstRowFirstColumn="0" w:firstRowLastColumn="0" w:lastRowFirstColumn="0" w:lastRowLastColumn="0"/>
              <w:rPr>
                <w:sz w:val="21"/>
                <w:szCs w:val="21"/>
              </w:rPr>
            </w:pPr>
          </w:p>
        </w:tc>
        <w:tc>
          <w:tcPr>
            <w:tcW w:w="4230" w:type="dxa"/>
          </w:tcPr>
          <w:p w14:paraId="0FC46C1D"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b/>
                <w:i/>
                <w:color w:val="000000" w:themeColor="text1"/>
                <w:sz w:val="21"/>
                <w:szCs w:val="22"/>
              </w:rPr>
              <w:t xml:space="preserve">Tribal Recommendations: </w:t>
            </w:r>
          </w:p>
          <w:p w14:paraId="7D744DA1" w14:textId="77777777" w:rsidR="00024984" w:rsidRDefault="00024984" w:rsidP="00024984">
            <w:pPr>
              <w:pStyle w:val="ListParagraph"/>
              <w:numPr>
                <w:ilvl w:val="0"/>
                <w:numId w:val="34"/>
              </w:numPr>
              <w:ind w:left="348" w:hanging="348"/>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color w:val="000000" w:themeColor="text1"/>
                <w:sz w:val="21"/>
                <w:szCs w:val="22"/>
              </w:rPr>
              <w:t>Tribal pharmacies are entitled to reimbursement.</w:t>
            </w:r>
          </w:p>
          <w:p w14:paraId="71D3030F" w14:textId="77777777" w:rsidR="00024984" w:rsidRDefault="00024984" w:rsidP="00024984">
            <w:pPr>
              <w:pStyle w:val="ListParagraph"/>
              <w:numPr>
                <w:ilvl w:val="0"/>
                <w:numId w:val="34"/>
              </w:numPr>
              <w:ind w:left="348" w:hanging="348"/>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color w:val="000000" w:themeColor="text1"/>
                <w:sz w:val="21"/>
                <w:szCs w:val="22"/>
              </w:rPr>
              <w:t>Adjusting the I/T/U addendum for Part D contracts, which is also a system fix.</w:t>
            </w:r>
          </w:p>
          <w:p w14:paraId="4729541B" w14:textId="77777777" w:rsidR="00024984" w:rsidRPr="00024984" w:rsidRDefault="00024984" w:rsidP="00024984">
            <w:pPr>
              <w:pStyle w:val="ListParagraph"/>
              <w:numPr>
                <w:ilvl w:val="0"/>
                <w:numId w:val="34"/>
              </w:numPr>
              <w:ind w:left="348" w:hanging="348"/>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color w:val="000000" w:themeColor="text1"/>
                <w:sz w:val="21"/>
                <w:szCs w:val="22"/>
              </w:rPr>
              <w:t>Need a way to mark I/T/U facility NPI numbers.</w:t>
            </w:r>
          </w:p>
          <w:p w14:paraId="178C5AD1" w14:textId="77777777" w:rsidR="00024984" w:rsidRDefault="00024984" w:rsidP="00024984">
            <w:pPr>
              <w:pStyle w:val="ListParagraph"/>
              <w:ind w:left="348"/>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p>
          <w:p w14:paraId="7E84B094"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b/>
                <w:i/>
                <w:color w:val="000000" w:themeColor="text1"/>
                <w:sz w:val="21"/>
                <w:szCs w:val="22"/>
              </w:rPr>
              <w:t>TSGAC Actions:</w:t>
            </w:r>
          </w:p>
          <w:p w14:paraId="437727DC" w14:textId="77777777" w:rsidR="00024984" w:rsidRDefault="00024984" w:rsidP="00024984">
            <w:pPr>
              <w:pStyle w:val="ListParagraph"/>
              <w:ind w:left="252"/>
              <w:cnfStyle w:val="000000000000" w:firstRow="0" w:lastRow="0" w:firstColumn="0" w:lastColumn="0" w:oddVBand="0" w:evenVBand="0" w:oddHBand="0" w:evenHBand="0" w:firstRowFirstColumn="0" w:firstRowLastColumn="0" w:lastRowFirstColumn="0" w:lastRowLastColumn="0"/>
              <w:rPr>
                <w:bCs/>
                <w:iCs/>
                <w:color w:val="000000" w:themeColor="text1"/>
                <w:sz w:val="22"/>
              </w:rPr>
            </w:pPr>
            <w:r>
              <w:rPr>
                <w:bCs/>
                <w:iCs/>
                <w:color w:val="000000" w:themeColor="text1"/>
                <w:sz w:val="22"/>
              </w:rPr>
              <w:t xml:space="preserve"> Advocate for an administrative solution to override the compliance denial issue.</w:t>
            </w:r>
          </w:p>
          <w:p w14:paraId="4D40F3C5" w14:textId="77777777" w:rsidR="00810213" w:rsidRPr="00887424" w:rsidRDefault="00810213" w:rsidP="00024984">
            <w:pPr>
              <w:pStyle w:val="ListParagraph"/>
              <w:ind w:left="252"/>
              <w:cnfStyle w:val="000000000000" w:firstRow="0" w:lastRow="0" w:firstColumn="0" w:lastColumn="0" w:oddVBand="0" w:evenVBand="0" w:oddHBand="0" w:evenHBand="0" w:firstRowFirstColumn="0" w:firstRowLastColumn="0" w:lastRowFirstColumn="0" w:lastRowLastColumn="0"/>
              <w:rPr>
                <w:i/>
                <w:sz w:val="21"/>
                <w:szCs w:val="21"/>
              </w:rPr>
            </w:pPr>
            <w:r w:rsidRPr="00887424">
              <w:rPr>
                <w:i/>
                <w:sz w:val="21"/>
                <w:szCs w:val="21"/>
              </w:rPr>
              <w:t>Participate in any edits to Part D Addendum</w:t>
            </w:r>
          </w:p>
        </w:tc>
        <w:tc>
          <w:tcPr>
            <w:tcW w:w="3060" w:type="dxa"/>
          </w:tcPr>
          <w:p w14:paraId="4FD4A608" w14:textId="77777777" w:rsidR="00024984" w:rsidRDefault="002E2C31" w:rsidP="0088742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IHS</w:t>
            </w:r>
            <w:r w:rsidR="007F0BD6">
              <w:rPr>
                <w:sz w:val="21"/>
                <w:szCs w:val="21"/>
              </w:rPr>
              <w:t xml:space="preserve"> </w:t>
            </w:r>
            <w:r w:rsidR="00810213">
              <w:rPr>
                <w:sz w:val="21"/>
                <w:szCs w:val="21"/>
              </w:rPr>
              <w:t xml:space="preserve">ORAP is considering whether to make edits to the Part D Addendum.  IHS </w:t>
            </w:r>
            <w:r w:rsidR="007F0BD6">
              <w:rPr>
                <w:sz w:val="21"/>
                <w:szCs w:val="21"/>
              </w:rPr>
              <w:t xml:space="preserve">stated they will not negotiate a new Addendum with CMS without tribal </w:t>
            </w:r>
            <w:r w:rsidR="00810213">
              <w:rPr>
                <w:sz w:val="21"/>
                <w:szCs w:val="21"/>
              </w:rPr>
              <w:t>participation</w:t>
            </w:r>
            <w:r w:rsidR="007F0BD6">
              <w:rPr>
                <w:sz w:val="21"/>
                <w:szCs w:val="21"/>
              </w:rPr>
              <w:t>.</w:t>
            </w:r>
          </w:p>
        </w:tc>
      </w:tr>
      <w:tr w:rsidR="00024984" w14:paraId="657C5605"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0ADDEB15" w14:textId="77777777" w:rsidR="00024984" w:rsidRPr="00024984" w:rsidRDefault="00024984" w:rsidP="00237EAD">
            <w:pPr>
              <w:rPr>
                <w:b w:val="0"/>
                <w:bCs w:val="0"/>
                <w:sz w:val="22"/>
                <w:szCs w:val="22"/>
              </w:rPr>
            </w:pPr>
            <w:r>
              <w:rPr>
                <w:sz w:val="22"/>
                <w:szCs w:val="22"/>
              </w:rPr>
              <w:lastRenderedPageBreak/>
              <w:t xml:space="preserve">Medicare Part B Penalties Relief </w:t>
            </w:r>
            <w:r w:rsidRPr="00024984">
              <w:rPr>
                <w:b w:val="0"/>
                <w:bCs w:val="0"/>
                <w:i/>
                <w:iCs/>
                <w:sz w:val="22"/>
                <w:szCs w:val="22"/>
              </w:rPr>
              <w:t>CMS</w:t>
            </w:r>
          </w:p>
        </w:tc>
        <w:tc>
          <w:tcPr>
            <w:tcW w:w="3690" w:type="dxa"/>
          </w:tcPr>
          <w:p w14:paraId="7E902A9D"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b/>
                <w:i/>
                <w:color w:val="000000" w:themeColor="text1"/>
                <w:sz w:val="21"/>
                <w:szCs w:val="22"/>
              </w:rPr>
            </w:pPr>
            <w:r>
              <w:rPr>
                <w:b/>
                <w:i/>
                <w:color w:val="000000" w:themeColor="text1"/>
                <w:sz w:val="22"/>
                <w:szCs w:val="22"/>
              </w:rPr>
              <w:t xml:space="preserve">Issue: </w:t>
            </w:r>
            <w:r>
              <w:rPr>
                <w:bCs/>
                <w:iCs/>
                <w:color w:val="000000" w:themeColor="text1"/>
                <w:sz w:val="22"/>
                <w:szCs w:val="22"/>
              </w:rPr>
              <w:t>Medicare Part B imposes penalties for individuals who delay enrollment once they are eligible. Currently, there are no exceptions for individuals who are eligible for care from the IHS, even though they are like beneficiaries of employment-based insurance plans and do not need additional coverage.</w:t>
            </w:r>
          </w:p>
        </w:tc>
        <w:tc>
          <w:tcPr>
            <w:tcW w:w="4230" w:type="dxa"/>
          </w:tcPr>
          <w:p w14:paraId="7BBFCCC1"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b/>
                <w:bCs/>
                <w:i/>
                <w:iCs/>
                <w:color w:val="000000" w:themeColor="text1"/>
                <w:sz w:val="22"/>
                <w:szCs w:val="22"/>
              </w:rPr>
            </w:pPr>
            <w:r>
              <w:rPr>
                <w:b/>
                <w:bCs/>
                <w:i/>
                <w:iCs/>
                <w:color w:val="000000" w:themeColor="text1"/>
                <w:sz w:val="22"/>
                <w:szCs w:val="22"/>
              </w:rPr>
              <w:t>Tribal Recommendations:</w:t>
            </w:r>
          </w:p>
          <w:p w14:paraId="081F14E8" w14:textId="77777777" w:rsidR="00024984" w:rsidRPr="001E36A4" w:rsidRDefault="00024984" w:rsidP="001E36A4">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E36A4">
              <w:rPr>
                <w:color w:val="000000" w:themeColor="text1"/>
                <w:sz w:val="22"/>
                <w:szCs w:val="22"/>
              </w:rPr>
              <w:t>Request for a regulatory change for AI/AN individuals should be exempt from part B premiums and at a minimum IHS coverage should be deemed creditable coverage so AI/AN enrollees in Part B are not subject to late-enrollment penalties.</w:t>
            </w:r>
          </w:p>
          <w:p w14:paraId="2B71C773" w14:textId="77777777" w:rsidR="00791FDA" w:rsidRDefault="00791FDA" w:rsidP="000249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6FD3EF9" w14:textId="77777777" w:rsidR="007E4763" w:rsidRPr="001E36A4" w:rsidRDefault="00791FDA" w:rsidP="001E36A4">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E36A4">
              <w:rPr>
                <w:color w:val="000000" w:themeColor="text1"/>
                <w:sz w:val="22"/>
                <w:szCs w:val="22"/>
              </w:rPr>
              <w:t>DTA has stated this will require a legislative fix.</w:t>
            </w:r>
          </w:p>
        </w:tc>
        <w:tc>
          <w:tcPr>
            <w:tcW w:w="3060" w:type="dxa"/>
          </w:tcPr>
          <w:p w14:paraId="7C65B922" w14:textId="77777777" w:rsidR="00024984" w:rsidRDefault="00791FDA" w:rsidP="00024984">
            <w:pPr>
              <w:pStyle w:val="ListParagraph"/>
              <w:numPr>
                <w:ilvl w:val="0"/>
                <w:numId w:val="35"/>
              </w:numPr>
              <w:ind w:left="167"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CMS has concluded a</w:t>
            </w:r>
            <w:r w:rsidR="00024984">
              <w:rPr>
                <w:sz w:val="21"/>
                <w:szCs w:val="21"/>
              </w:rPr>
              <w:t xml:space="preserve"> statutory fix </w:t>
            </w:r>
            <w:r>
              <w:rPr>
                <w:sz w:val="21"/>
                <w:szCs w:val="21"/>
              </w:rPr>
              <w:t xml:space="preserve">is required </w:t>
            </w:r>
            <w:r w:rsidR="00024984">
              <w:rPr>
                <w:sz w:val="21"/>
                <w:szCs w:val="21"/>
              </w:rPr>
              <w:t xml:space="preserve">to deem IHS as credible coverage. </w:t>
            </w:r>
          </w:p>
        </w:tc>
      </w:tr>
      <w:tr w:rsidR="00024984" w14:paraId="7D230D6E" w14:textId="77777777" w:rsidTr="00024984">
        <w:trPr>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6DFCE3A4" w14:textId="77777777" w:rsidR="00024984" w:rsidRDefault="00024984" w:rsidP="00237EAD">
            <w:pPr>
              <w:rPr>
                <w:b w:val="0"/>
                <w:bCs w:val="0"/>
                <w:sz w:val="22"/>
                <w:szCs w:val="22"/>
              </w:rPr>
            </w:pPr>
            <w:r>
              <w:rPr>
                <w:sz w:val="22"/>
                <w:szCs w:val="22"/>
              </w:rPr>
              <w:t>Medicare Part B Tribal Sponsorship</w:t>
            </w:r>
          </w:p>
          <w:p w14:paraId="19B60503" w14:textId="77777777" w:rsidR="00024984" w:rsidRPr="00024984" w:rsidRDefault="00024984" w:rsidP="00237EAD">
            <w:pPr>
              <w:rPr>
                <w:b w:val="0"/>
                <w:bCs w:val="0"/>
                <w:i/>
                <w:iCs/>
                <w:sz w:val="22"/>
                <w:szCs w:val="22"/>
              </w:rPr>
            </w:pPr>
            <w:r>
              <w:rPr>
                <w:b w:val="0"/>
                <w:bCs w:val="0"/>
                <w:i/>
                <w:iCs/>
                <w:sz w:val="22"/>
                <w:szCs w:val="22"/>
              </w:rPr>
              <w:t>CMS</w:t>
            </w:r>
          </w:p>
        </w:tc>
        <w:tc>
          <w:tcPr>
            <w:tcW w:w="3690" w:type="dxa"/>
          </w:tcPr>
          <w:p w14:paraId="76EB166F"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b/>
                <w:i/>
                <w:color w:val="000000" w:themeColor="text1"/>
                <w:sz w:val="22"/>
                <w:szCs w:val="22"/>
              </w:rPr>
            </w:pPr>
            <w:r>
              <w:rPr>
                <w:b/>
                <w:i/>
                <w:color w:val="000000" w:themeColor="text1"/>
                <w:sz w:val="22"/>
                <w:szCs w:val="22"/>
              </w:rPr>
              <w:t>Issue:</w:t>
            </w:r>
            <w:r>
              <w:rPr>
                <w:color w:val="000000" w:themeColor="text1"/>
                <w:sz w:val="22"/>
                <w:szCs w:val="22"/>
              </w:rPr>
              <w:t xml:space="preserve"> States can pay Medicare the cost of the Part B premiums, however, </w:t>
            </w:r>
            <w:r w:rsidR="00DD0D3F">
              <w:rPr>
                <w:color w:val="000000" w:themeColor="text1"/>
                <w:sz w:val="22"/>
                <w:szCs w:val="22"/>
              </w:rPr>
              <w:t>Tribes</w:t>
            </w:r>
            <w:r>
              <w:rPr>
                <w:color w:val="000000" w:themeColor="text1"/>
                <w:sz w:val="22"/>
                <w:szCs w:val="22"/>
              </w:rPr>
              <w:t xml:space="preserve"> are not able to do this. Currently, </w:t>
            </w:r>
            <w:r w:rsidR="00DD0D3F">
              <w:rPr>
                <w:color w:val="000000" w:themeColor="text1"/>
                <w:sz w:val="22"/>
                <w:szCs w:val="22"/>
              </w:rPr>
              <w:t>Tribes</w:t>
            </w:r>
            <w:r>
              <w:rPr>
                <w:color w:val="000000" w:themeColor="text1"/>
                <w:sz w:val="22"/>
                <w:szCs w:val="22"/>
              </w:rPr>
              <w:t xml:space="preserve"> can reimburse individuals for the cost of Part B premiums, but the Medicare beneficiaries have to pay the premiums first.</w:t>
            </w:r>
          </w:p>
        </w:tc>
        <w:tc>
          <w:tcPr>
            <w:tcW w:w="4230" w:type="dxa"/>
          </w:tcPr>
          <w:p w14:paraId="33C89211"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b/>
                <w:bCs/>
                <w:i/>
                <w:iCs/>
                <w:color w:val="000000" w:themeColor="text1"/>
                <w:sz w:val="22"/>
                <w:szCs w:val="22"/>
              </w:rPr>
            </w:pPr>
            <w:r>
              <w:rPr>
                <w:b/>
                <w:bCs/>
                <w:i/>
                <w:iCs/>
                <w:color w:val="000000" w:themeColor="text1"/>
                <w:sz w:val="22"/>
                <w:szCs w:val="22"/>
              </w:rPr>
              <w:t>Tribal Recommendations:</w:t>
            </w:r>
          </w:p>
          <w:p w14:paraId="309865D3" w14:textId="77777777" w:rsidR="00024984" w:rsidRPr="001E36A4" w:rsidRDefault="00DD0D3F" w:rsidP="001E36A4">
            <w:pPr>
              <w:cnfStyle w:val="000000000000" w:firstRow="0" w:lastRow="0" w:firstColumn="0" w:lastColumn="0" w:oddVBand="0" w:evenVBand="0" w:oddHBand="0" w:evenHBand="0" w:firstRowFirstColumn="0" w:firstRowLastColumn="0" w:lastRowFirstColumn="0" w:lastRowLastColumn="0"/>
              <w:rPr>
                <w:color w:val="000000" w:themeColor="text1"/>
                <w:sz w:val="21"/>
              </w:rPr>
            </w:pPr>
            <w:r w:rsidRPr="001E36A4">
              <w:rPr>
                <w:color w:val="000000" w:themeColor="text1"/>
                <w:sz w:val="22"/>
                <w:szCs w:val="22"/>
              </w:rPr>
              <w:t>Tribes</w:t>
            </w:r>
            <w:r w:rsidR="00024984" w:rsidRPr="001E36A4">
              <w:rPr>
                <w:color w:val="000000" w:themeColor="text1"/>
                <w:sz w:val="22"/>
                <w:szCs w:val="22"/>
              </w:rPr>
              <w:t xml:space="preserve"> must be able to sponsor and directly pay for Part B premiums for their Tribal members and pay in one lump sum similar to states and local governments.</w:t>
            </w:r>
          </w:p>
          <w:p w14:paraId="61872CB6" w14:textId="77777777" w:rsidR="00024984" w:rsidRDefault="00024984" w:rsidP="00024984">
            <w:pPr>
              <w:pStyle w:val="ListParagraph"/>
              <w:ind w:left="264"/>
              <w:cnfStyle w:val="000000000000" w:firstRow="0" w:lastRow="0" w:firstColumn="0" w:lastColumn="0" w:oddVBand="0" w:evenVBand="0" w:oddHBand="0" w:evenHBand="0" w:firstRowFirstColumn="0" w:firstRowLastColumn="0" w:lastRowFirstColumn="0" w:lastRowLastColumn="0"/>
              <w:rPr>
                <w:color w:val="000000" w:themeColor="text1"/>
                <w:sz w:val="21"/>
              </w:rPr>
            </w:pPr>
          </w:p>
          <w:p w14:paraId="19CB32E3" w14:textId="77777777" w:rsidR="00024984" w:rsidRPr="00887424" w:rsidRDefault="00024984" w:rsidP="00887424">
            <w:pPr>
              <w:cnfStyle w:val="000000000000" w:firstRow="0" w:lastRow="0" w:firstColumn="0" w:lastColumn="0" w:oddVBand="0" w:evenVBand="0" w:oddHBand="0" w:evenHBand="0" w:firstRowFirstColumn="0" w:firstRowLastColumn="0" w:lastRowFirstColumn="0" w:lastRowLastColumn="0"/>
              <w:rPr>
                <w:color w:val="000000" w:themeColor="text1"/>
                <w:sz w:val="21"/>
              </w:rPr>
            </w:pPr>
          </w:p>
          <w:p w14:paraId="236BF01B"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b/>
                <w:bCs/>
                <w:i/>
                <w:iCs/>
                <w:color w:val="000000" w:themeColor="text1"/>
                <w:sz w:val="22"/>
                <w:szCs w:val="22"/>
              </w:rPr>
            </w:pPr>
          </w:p>
        </w:tc>
        <w:tc>
          <w:tcPr>
            <w:tcW w:w="3060" w:type="dxa"/>
          </w:tcPr>
          <w:p w14:paraId="7EE6F3C7" w14:textId="77777777" w:rsidR="007E4763" w:rsidRPr="00887424" w:rsidRDefault="007E4763" w:rsidP="007E4763">
            <w:pPr>
              <w:pStyle w:val="ListParagraph"/>
              <w:numPr>
                <w:ilvl w:val="0"/>
                <w:numId w:val="35"/>
              </w:numPr>
              <w:ind w:left="167" w:hanging="180"/>
              <w:cnfStyle w:val="000000000000" w:firstRow="0" w:lastRow="0" w:firstColumn="0" w:lastColumn="0" w:oddVBand="0" w:evenVBand="0" w:oddHBand="0" w:evenHBand="0" w:firstRowFirstColumn="0" w:firstRowLastColumn="0" w:lastRowFirstColumn="0" w:lastRowLastColumn="0"/>
              <w:rPr>
                <w:sz w:val="21"/>
                <w:szCs w:val="21"/>
              </w:rPr>
            </w:pPr>
            <w:r>
              <w:rPr>
                <w:sz w:val="21"/>
              </w:rPr>
              <w:t>CMS’ Office of General Counsel (OGC) determined a legislative fix will be necessary to allow premium direct sponsorship.</w:t>
            </w:r>
          </w:p>
        </w:tc>
      </w:tr>
      <w:tr w:rsidR="00024984" w14:paraId="0129E250"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44C723C8" w14:textId="77777777" w:rsidR="00024984" w:rsidRDefault="00024984" w:rsidP="00237EAD">
            <w:pPr>
              <w:rPr>
                <w:b w:val="0"/>
                <w:bCs w:val="0"/>
                <w:sz w:val="22"/>
                <w:szCs w:val="22"/>
              </w:rPr>
            </w:pPr>
            <w:r>
              <w:rPr>
                <w:sz w:val="22"/>
                <w:szCs w:val="22"/>
              </w:rPr>
              <w:t>Chapter 19 Medicare Claims Processing Manual Revisions</w:t>
            </w:r>
          </w:p>
          <w:p w14:paraId="26B47C03" w14:textId="77777777" w:rsidR="00024984" w:rsidRPr="00024984" w:rsidRDefault="00024984" w:rsidP="00237EAD">
            <w:pPr>
              <w:rPr>
                <w:b w:val="0"/>
                <w:bCs w:val="0"/>
                <w:i/>
                <w:iCs/>
                <w:sz w:val="22"/>
                <w:szCs w:val="22"/>
              </w:rPr>
            </w:pPr>
            <w:r>
              <w:rPr>
                <w:b w:val="0"/>
                <w:bCs w:val="0"/>
                <w:i/>
                <w:iCs/>
                <w:sz w:val="22"/>
                <w:szCs w:val="22"/>
              </w:rPr>
              <w:t>CMS</w:t>
            </w:r>
          </w:p>
        </w:tc>
        <w:tc>
          <w:tcPr>
            <w:tcW w:w="3690" w:type="dxa"/>
          </w:tcPr>
          <w:p w14:paraId="75063616"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b/>
                <w:i/>
                <w:color w:val="000000" w:themeColor="text1"/>
                <w:sz w:val="22"/>
                <w:szCs w:val="22"/>
              </w:rPr>
            </w:pPr>
            <w:r>
              <w:rPr>
                <w:color w:val="000000" w:themeColor="text1"/>
                <w:sz w:val="21"/>
                <w:szCs w:val="22"/>
              </w:rPr>
              <w:t xml:space="preserve">Chapter 19 of the Medicare Claims Processing Manual is out-of-date and includes internal inconsistencies, which has led to billing disputes with </w:t>
            </w:r>
            <w:proofErr w:type="spellStart"/>
            <w:r>
              <w:rPr>
                <w:color w:val="000000" w:themeColor="text1"/>
                <w:sz w:val="21"/>
                <w:szCs w:val="22"/>
              </w:rPr>
              <w:t>Novitas</w:t>
            </w:r>
            <w:proofErr w:type="spellEnd"/>
            <w:r>
              <w:rPr>
                <w:color w:val="000000" w:themeColor="text1"/>
                <w:sz w:val="21"/>
                <w:szCs w:val="22"/>
              </w:rPr>
              <w:t>.</w:t>
            </w:r>
          </w:p>
        </w:tc>
        <w:tc>
          <w:tcPr>
            <w:tcW w:w="4230" w:type="dxa"/>
          </w:tcPr>
          <w:p w14:paraId="0A55D046"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b/>
                <w:i/>
                <w:color w:val="000000" w:themeColor="text1"/>
                <w:sz w:val="21"/>
                <w:szCs w:val="22"/>
              </w:rPr>
              <w:t>Tribal Recommendations:</w:t>
            </w:r>
            <w:r>
              <w:rPr>
                <w:color w:val="000000" w:themeColor="text1"/>
                <w:sz w:val="21"/>
                <w:szCs w:val="22"/>
              </w:rPr>
              <w:t xml:space="preserve"> </w:t>
            </w:r>
          </w:p>
          <w:p w14:paraId="1923BEA9" w14:textId="77777777" w:rsidR="00540BAA" w:rsidRDefault="00540BAA" w:rsidP="00024984">
            <w:pPr>
              <w:cnfStyle w:val="000000100000" w:firstRow="0" w:lastRow="0" w:firstColumn="0" w:lastColumn="0" w:oddVBand="0" w:evenVBand="0" w:oddHBand="1" w:evenHBand="0" w:firstRowFirstColumn="0" w:firstRowLastColumn="0" w:lastRowFirstColumn="0" w:lastRowLastColumn="0"/>
              <w:rPr>
                <w:b/>
                <w:bCs/>
                <w:i/>
                <w:iCs/>
                <w:color w:val="000000" w:themeColor="text1"/>
                <w:sz w:val="22"/>
                <w:szCs w:val="22"/>
              </w:rPr>
            </w:pPr>
            <w:r>
              <w:rPr>
                <w:color w:val="000000" w:themeColor="text1"/>
                <w:sz w:val="21"/>
                <w:szCs w:val="22"/>
              </w:rPr>
              <w:t>CMS has obtained the TTAG’s edits to the billing manual. CMS will be providing a revised version for the TTAG to review.</w:t>
            </w:r>
          </w:p>
        </w:tc>
        <w:tc>
          <w:tcPr>
            <w:tcW w:w="3060" w:type="dxa"/>
          </w:tcPr>
          <w:p w14:paraId="0B5619D6" w14:textId="77777777" w:rsidR="00024984" w:rsidRDefault="00024984" w:rsidP="00024984">
            <w:pPr>
              <w:pStyle w:val="ListParagraph"/>
              <w:ind w:left="167"/>
              <w:cnfStyle w:val="000000100000" w:firstRow="0" w:lastRow="0" w:firstColumn="0" w:lastColumn="0" w:oddVBand="0" w:evenVBand="0" w:oddHBand="1" w:evenHBand="0" w:firstRowFirstColumn="0" w:firstRowLastColumn="0" w:lastRowFirstColumn="0" w:lastRowLastColumn="0"/>
              <w:rPr>
                <w:sz w:val="21"/>
              </w:rPr>
            </w:pPr>
          </w:p>
        </w:tc>
      </w:tr>
      <w:tr w:rsidR="00347D19" w14:paraId="2EABD76C" w14:textId="77777777" w:rsidTr="00024984">
        <w:trPr>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3EDBDA0C" w14:textId="77777777" w:rsidR="00347D19" w:rsidRDefault="00347D19" w:rsidP="00237EAD">
            <w:pPr>
              <w:rPr>
                <w:sz w:val="22"/>
                <w:szCs w:val="22"/>
              </w:rPr>
            </w:pPr>
            <w:r>
              <w:rPr>
                <w:sz w:val="22"/>
                <w:szCs w:val="22"/>
              </w:rPr>
              <w:t>Provider Based Billing Issue</w:t>
            </w:r>
          </w:p>
        </w:tc>
        <w:tc>
          <w:tcPr>
            <w:tcW w:w="3690" w:type="dxa"/>
          </w:tcPr>
          <w:p w14:paraId="1348E70A" w14:textId="77777777" w:rsidR="00347D19" w:rsidRDefault="00347D19" w:rsidP="00024984">
            <w:pPr>
              <w:cnfStyle w:val="000000000000" w:firstRow="0" w:lastRow="0" w:firstColumn="0" w:lastColumn="0" w:oddVBand="0" w:evenVBand="0" w:oddHBand="0" w:evenHBand="0" w:firstRowFirstColumn="0" w:firstRowLastColumn="0" w:lastRowFirstColumn="0" w:lastRowLastColumn="0"/>
              <w:rPr>
                <w:color w:val="000000" w:themeColor="text1"/>
                <w:sz w:val="21"/>
                <w:szCs w:val="22"/>
              </w:rPr>
            </w:pPr>
            <w:r>
              <w:rPr>
                <w:color w:val="000000" w:themeColor="text1"/>
                <w:sz w:val="21"/>
                <w:szCs w:val="22"/>
              </w:rPr>
              <w:t>Many Tribal clinics are not able to bill as provider based to a hospital while others are based on outdated guidance.</w:t>
            </w:r>
          </w:p>
        </w:tc>
        <w:tc>
          <w:tcPr>
            <w:tcW w:w="4230" w:type="dxa"/>
          </w:tcPr>
          <w:p w14:paraId="6ED4200E" w14:textId="77777777" w:rsidR="00347D19" w:rsidRDefault="00347D19" w:rsidP="00024984">
            <w:pPr>
              <w:cnfStyle w:val="000000000000" w:firstRow="0" w:lastRow="0" w:firstColumn="0" w:lastColumn="0" w:oddVBand="0" w:evenVBand="0" w:oddHBand="0" w:evenHBand="0" w:firstRowFirstColumn="0" w:firstRowLastColumn="0" w:lastRowFirstColumn="0" w:lastRowLastColumn="0"/>
              <w:rPr>
                <w:b/>
                <w:i/>
                <w:color w:val="000000" w:themeColor="text1"/>
                <w:sz w:val="21"/>
                <w:szCs w:val="22"/>
              </w:rPr>
            </w:pPr>
            <w:r>
              <w:rPr>
                <w:b/>
                <w:i/>
                <w:color w:val="000000" w:themeColor="text1"/>
                <w:sz w:val="21"/>
                <w:szCs w:val="22"/>
              </w:rPr>
              <w:t>Tribal Recommendations:</w:t>
            </w:r>
          </w:p>
          <w:p w14:paraId="5ADEA67B" w14:textId="77777777" w:rsidR="00D651DF" w:rsidRPr="00887424" w:rsidRDefault="00DD0D3F" w:rsidP="00024984">
            <w:pPr>
              <w:cnfStyle w:val="000000000000" w:firstRow="0" w:lastRow="0" w:firstColumn="0" w:lastColumn="0" w:oddVBand="0" w:evenVBand="0" w:oddHBand="0" w:evenHBand="0" w:firstRowFirstColumn="0" w:firstRowLastColumn="0" w:lastRowFirstColumn="0" w:lastRowLastColumn="0"/>
              <w:rPr>
                <w:color w:val="000000" w:themeColor="text1"/>
                <w:sz w:val="21"/>
                <w:szCs w:val="22"/>
              </w:rPr>
            </w:pPr>
            <w:r>
              <w:rPr>
                <w:color w:val="000000" w:themeColor="text1"/>
                <w:sz w:val="21"/>
                <w:szCs w:val="22"/>
              </w:rPr>
              <w:t>Tribes</w:t>
            </w:r>
            <w:r w:rsidR="00D651DF">
              <w:rPr>
                <w:color w:val="000000" w:themeColor="text1"/>
                <w:sz w:val="21"/>
                <w:szCs w:val="22"/>
              </w:rPr>
              <w:t xml:space="preserve"> have requested that CMS finally fix this issue and allow any tribal clinic that requests it to bill as provider based at the IHS OMB rates</w:t>
            </w:r>
          </w:p>
        </w:tc>
        <w:tc>
          <w:tcPr>
            <w:tcW w:w="3060" w:type="dxa"/>
          </w:tcPr>
          <w:p w14:paraId="2AA59E04" w14:textId="77777777" w:rsidR="00347D19" w:rsidRDefault="00D651DF" w:rsidP="00024984">
            <w:pPr>
              <w:pStyle w:val="ListParagraph"/>
              <w:ind w:left="167"/>
              <w:cnfStyle w:val="000000000000" w:firstRow="0" w:lastRow="0" w:firstColumn="0" w:lastColumn="0" w:oddVBand="0" w:evenVBand="0" w:oddHBand="0" w:evenHBand="0" w:firstRowFirstColumn="0" w:firstRowLastColumn="0" w:lastRowFirstColumn="0" w:lastRowLastColumn="0"/>
              <w:rPr>
                <w:sz w:val="21"/>
              </w:rPr>
            </w:pPr>
            <w:r>
              <w:rPr>
                <w:sz w:val="21"/>
              </w:rPr>
              <w:t>CMS has received a letter on this from the CMS TTAG is going to respond.</w:t>
            </w:r>
          </w:p>
        </w:tc>
      </w:tr>
    </w:tbl>
    <w:p w14:paraId="11740727" w14:textId="77777777" w:rsidR="001E36A4" w:rsidRDefault="001E36A4"/>
    <w:tbl>
      <w:tblPr>
        <w:tblStyle w:val="GridTable4-Accent3"/>
        <w:tblpPr w:leftFromText="180" w:rightFromText="180" w:vertAnchor="page" w:horzAnchor="margin" w:tblpXSpec="center" w:tblpY="2668"/>
        <w:tblW w:w="12775" w:type="dxa"/>
        <w:tblLayout w:type="fixed"/>
        <w:tblLook w:val="04A0" w:firstRow="1" w:lastRow="0" w:firstColumn="1" w:lastColumn="0" w:noHBand="0" w:noVBand="1"/>
      </w:tblPr>
      <w:tblGrid>
        <w:gridCol w:w="1795"/>
        <w:gridCol w:w="3690"/>
        <w:gridCol w:w="4230"/>
        <w:gridCol w:w="3060"/>
      </w:tblGrid>
      <w:tr w:rsidR="00024984" w14:paraId="4BA83CFF" w14:textId="77777777" w:rsidTr="00024984">
        <w:trPr>
          <w:cnfStyle w:val="100000000000" w:firstRow="1" w:lastRow="0" w:firstColumn="0" w:lastColumn="0" w:oddVBand="0" w:evenVBand="0" w:oddHBand="0"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2775" w:type="dxa"/>
            <w:gridSpan w:val="4"/>
            <w:shd w:val="clear" w:color="auto" w:fill="D9E2F3" w:themeFill="accent1" w:themeFillTint="33"/>
          </w:tcPr>
          <w:p w14:paraId="2B43307F" w14:textId="77777777" w:rsidR="00024984" w:rsidRPr="00024984" w:rsidRDefault="00024984" w:rsidP="00024984">
            <w:pPr>
              <w:pStyle w:val="ListParagraph"/>
              <w:ind w:left="167"/>
              <w:jc w:val="center"/>
              <w:rPr>
                <w:color w:val="2F5496" w:themeColor="accent1" w:themeShade="BF"/>
                <w:sz w:val="21"/>
              </w:rPr>
            </w:pPr>
            <w:r w:rsidRPr="00024984">
              <w:rPr>
                <w:color w:val="2F5496" w:themeColor="accent1" w:themeShade="BF"/>
                <w:sz w:val="21"/>
              </w:rPr>
              <w:lastRenderedPageBreak/>
              <w:t>MEDICAID</w:t>
            </w:r>
            <w:r>
              <w:rPr>
                <w:color w:val="2F5496" w:themeColor="accent1" w:themeShade="BF"/>
                <w:sz w:val="21"/>
              </w:rPr>
              <w:t xml:space="preserve"> PRIORITIES</w:t>
            </w:r>
          </w:p>
        </w:tc>
      </w:tr>
      <w:tr w:rsidR="00237EAD" w14:paraId="46884035"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1038D9B5" w14:textId="77777777" w:rsidR="00237EAD" w:rsidRDefault="00024984" w:rsidP="00237EAD">
            <w:pPr>
              <w:rPr>
                <w:b w:val="0"/>
                <w:bCs w:val="0"/>
                <w:sz w:val="22"/>
                <w:szCs w:val="22"/>
              </w:rPr>
            </w:pPr>
            <w:r>
              <w:rPr>
                <w:sz w:val="22"/>
                <w:szCs w:val="22"/>
              </w:rPr>
              <w:t>Managed Care</w:t>
            </w:r>
          </w:p>
          <w:p w14:paraId="7004AAC6" w14:textId="77777777" w:rsidR="00237EAD" w:rsidRDefault="00237EAD" w:rsidP="00237EAD">
            <w:pPr>
              <w:rPr>
                <w:b w:val="0"/>
                <w:i/>
                <w:sz w:val="22"/>
                <w:szCs w:val="22"/>
              </w:rPr>
            </w:pPr>
            <w:r>
              <w:rPr>
                <w:b w:val="0"/>
                <w:i/>
                <w:sz w:val="22"/>
                <w:szCs w:val="22"/>
              </w:rPr>
              <w:t>CMS</w:t>
            </w:r>
          </w:p>
        </w:tc>
        <w:tc>
          <w:tcPr>
            <w:tcW w:w="3690" w:type="dxa"/>
          </w:tcPr>
          <w:p w14:paraId="7E186CB4" w14:textId="77777777" w:rsidR="00237EAD" w:rsidRDefault="00024984" w:rsidP="00024984">
            <w:pPr>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b/>
                <w:i/>
                <w:color w:val="000000" w:themeColor="text1"/>
                <w:sz w:val="21"/>
                <w:szCs w:val="22"/>
              </w:rPr>
              <w:t>Issue:</w:t>
            </w:r>
            <w:r>
              <w:rPr>
                <w:color w:val="000000" w:themeColor="text1"/>
                <w:sz w:val="21"/>
                <w:szCs w:val="22"/>
              </w:rPr>
              <w:t xml:space="preserve"> IHCPs continue to have difficulty being paid correctly by Medicaid Managed Care organizations (MCOs).</w:t>
            </w:r>
            <w:r>
              <w:rPr>
                <w:color w:val="000000" w:themeColor="text1"/>
                <w:sz w:val="20"/>
                <w:szCs w:val="22"/>
              </w:rPr>
              <w:t xml:space="preserve"> </w:t>
            </w:r>
            <w:r>
              <w:rPr>
                <w:color w:val="000000" w:themeColor="text1"/>
                <w:sz w:val="21"/>
                <w:szCs w:val="22"/>
              </w:rPr>
              <w:t>States don’t do enough to enforce the requirements (</w:t>
            </w:r>
            <w:r>
              <w:rPr>
                <w:color w:val="000000" w:themeColor="text1"/>
                <w:sz w:val="22"/>
                <w:szCs w:val="22"/>
              </w:rPr>
              <w:t xml:space="preserve">42 C.F.R. § 438.14) </w:t>
            </w:r>
            <w:r>
              <w:rPr>
                <w:color w:val="000000" w:themeColor="text1"/>
                <w:sz w:val="21"/>
                <w:szCs w:val="22"/>
              </w:rPr>
              <w:t>and CMS has not done enough to address these issues.</w:t>
            </w:r>
          </w:p>
          <w:p w14:paraId="0A0F427C" w14:textId="77777777" w:rsidR="00540BAA" w:rsidRDefault="00540BAA" w:rsidP="00024984">
            <w:pPr>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p>
          <w:p w14:paraId="067643BA" w14:textId="77777777" w:rsidR="00540BAA" w:rsidRPr="00024984" w:rsidRDefault="00540BAA" w:rsidP="00024984">
            <w:pPr>
              <w:cnfStyle w:val="000000100000" w:firstRow="0" w:lastRow="0" w:firstColumn="0" w:lastColumn="0" w:oddVBand="0" w:evenVBand="0" w:oddHBand="1" w:evenHBand="0" w:firstRowFirstColumn="0" w:firstRowLastColumn="0" w:lastRowFirstColumn="0" w:lastRowLastColumn="0"/>
              <w:rPr>
                <w:sz w:val="21"/>
                <w:szCs w:val="21"/>
              </w:rPr>
            </w:pPr>
            <w:r>
              <w:rPr>
                <w:color w:val="000000" w:themeColor="text1"/>
                <w:sz w:val="21"/>
                <w:szCs w:val="22"/>
              </w:rPr>
              <w:t>A report from the Tribal Medicaid Managed Care Roundtable, which is currently under review by the TTAG Managed Care Subcommittee, event speakers, and CMS, will be released to the TTAG for approval.</w:t>
            </w:r>
          </w:p>
        </w:tc>
        <w:tc>
          <w:tcPr>
            <w:tcW w:w="4230" w:type="dxa"/>
          </w:tcPr>
          <w:p w14:paraId="0210DE49"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b/>
                <w:i/>
                <w:color w:val="000000" w:themeColor="text1"/>
                <w:sz w:val="21"/>
                <w:szCs w:val="22"/>
              </w:rPr>
              <w:t>Tribal Recommendations:</w:t>
            </w:r>
          </w:p>
          <w:p w14:paraId="5C2C5455" w14:textId="77777777" w:rsidR="00024984" w:rsidRDefault="00024984" w:rsidP="00024984">
            <w:pPr>
              <w:pStyle w:val="ListParagraph"/>
              <w:numPr>
                <w:ilvl w:val="0"/>
                <w:numId w:val="38"/>
              </w:numPr>
              <w:ind w:left="348" w:hanging="348"/>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color w:val="000000" w:themeColor="text1"/>
                <w:sz w:val="21"/>
                <w:szCs w:val="22"/>
              </w:rPr>
              <w:t>CMS should issue a SHO letter informing States that they will be required as a condition of approving any managed care SPA or waiver to include compliance with the requirements at 42 C.F.R. § 438.14 as a condition of payment in their contracts with MCOs.</w:t>
            </w:r>
          </w:p>
          <w:p w14:paraId="2BAC3B77" w14:textId="77777777" w:rsidR="00024984" w:rsidRDefault="00024984" w:rsidP="00024984">
            <w:pPr>
              <w:pStyle w:val="ListParagraph"/>
              <w:numPr>
                <w:ilvl w:val="0"/>
                <w:numId w:val="38"/>
              </w:numPr>
              <w:ind w:left="348" w:hanging="348"/>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rFonts w:eastAsia="Calibri"/>
                <w:color w:val="000000" w:themeColor="text1"/>
                <w:sz w:val="21"/>
              </w:rPr>
              <w:t>CMS should require all MA plans to automatically deem Indian health care providers as in-network even if they do not enroll in a provider agreement.</w:t>
            </w:r>
          </w:p>
          <w:p w14:paraId="09721502" w14:textId="77777777" w:rsidR="00024984" w:rsidRDefault="00024984" w:rsidP="00024984">
            <w:pPr>
              <w:pStyle w:val="ListParagraph"/>
              <w:numPr>
                <w:ilvl w:val="0"/>
                <w:numId w:val="38"/>
              </w:numPr>
              <w:ind w:left="348" w:hanging="348"/>
              <w:cnfStyle w:val="000000100000" w:firstRow="0" w:lastRow="0" w:firstColumn="0" w:lastColumn="0" w:oddVBand="0" w:evenVBand="0" w:oddHBand="1" w:evenHBand="0" w:firstRowFirstColumn="0" w:firstRowLastColumn="0" w:lastRowFirstColumn="0" w:lastRowLastColumn="0"/>
              <w:rPr>
                <w:color w:val="000000" w:themeColor="text1"/>
                <w:sz w:val="21"/>
                <w:szCs w:val="22"/>
              </w:rPr>
            </w:pPr>
            <w:r>
              <w:rPr>
                <w:color w:val="000000" w:themeColor="text1"/>
                <w:sz w:val="20"/>
                <w:szCs w:val="22"/>
              </w:rPr>
              <w:t>Utilization of a Tribal Template for MCO contract (i.e. based off of contract language from Washington and/or California).</w:t>
            </w:r>
          </w:p>
          <w:p w14:paraId="789C99DB" w14:textId="77777777" w:rsidR="00237EAD" w:rsidRPr="00024984" w:rsidRDefault="00237EAD" w:rsidP="00024984">
            <w:pPr>
              <w:cnfStyle w:val="000000100000" w:firstRow="0" w:lastRow="0" w:firstColumn="0" w:lastColumn="0" w:oddVBand="0" w:evenVBand="0" w:oddHBand="1" w:evenHBand="0" w:firstRowFirstColumn="0" w:firstRowLastColumn="0" w:lastRowFirstColumn="0" w:lastRowLastColumn="0"/>
              <w:rPr>
                <w:b/>
                <w:i/>
                <w:sz w:val="21"/>
                <w:szCs w:val="21"/>
              </w:rPr>
            </w:pPr>
          </w:p>
        </w:tc>
        <w:tc>
          <w:tcPr>
            <w:tcW w:w="3060" w:type="dxa"/>
          </w:tcPr>
          <w:p w14:paraId="2AC7663D" w14:textId="77777777" w:rsidR="00024984" w:rsidRDefault="00024984" w:rsidP="00024984">
            <w:pPr>
              <w:pStyle w:val="ListParagraph"/>
              <w:numPr>
                <w:ilvl w:val="0"/>
                <w:numId w:val="17"/>
              </w:numPr>
              <w:ind w:left="152" w:right="-196"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CMS is rethinking the Managed Care Oversight infrastructure. </w:t>
            </w:r>
          </w:p>
          <w:p w14:paraId="3EA9F96B" w14:textId="77777777" w:rsidR="00024984" w:rsidRPr="00D73DCA" w:rsidRDefault="00024984" w:rsidP="00024984">
            <w:pPr>
              <w:pStyle w:val="ListParagraph"/>
              <w:numPr>
                <w:ilvl w:val="0"/>
                <w:numId w:val="17"/>
              </w:numPr>
              <w:ind w:left="152" w:right="-196" w:hanging="180"/>
              <w:cnfStyle w:val="000000100000" w:firstRow="0" w:lastRow="0" w:firstColumn="0" w:lastColumn="0" w:oddVBand="0" w:evenVBand="0" w:oddHBand="1" w:evenHBand="0" w:firstRowFirstColumn="0" w:firstRowLastColumn="0" w:lastRowFirstColumn="0" w:lastRowLastColumn="0"/>
              <w:rPr>
                <w:sz w:val="21"/>
                <w:szCs w:val="21"/>
              </w:rPr>
            </w:pPr>
            <w:r>
              <w:rPr>
                <w:color w:val="000000" w:themeColor="text1"/>
                <w:sz w:val="21"/>
                <w:szCs w:val="21"/>
              </w:rPr>
              <w:t>CMS has developed a protocol where NACs for your area can be a POC and once they receive a complaint from a</w:t>
            </w:r>
            <w:r w:rsidR="002E5174">
              <w:rPr>
                <w:color w:val="000000" w:themeColor="text1"/>
                <w:sz w:val="21"/>
                <w:szCs w:val="21"/>
              </w:rPr>
              <w:t>n</w:t>
            </w:r>
            <w:r>
              <w:rPr>
                <w:color w:val="000000" w:themeColor="text1"/>
                <w:sz w:val="21"/>
                <w:szCs w:val="21"/>
              </w:rPr>
              <w:t xml:space="preserve"> IHCP, the NAC can work with DTA to determine if there is a violation of MC rules. It will track the issues, have a point of contact and this will expedite resolutions.</w:t>
            </w:r>
          </w:p>
          <w:p w14:paraId="19D24DBF" w14:textId="77777777" w:rsidR="00024984" w:rsidRDefault="00024984" w:rsidP="00024984">
            <w:pPr>
              <w:pStyle w:val="ListParagraph"/>
              <w:numPr>
                <w:ilvl w:val="0"/>
                <w:numId w:val="17"/>
              </w:numPr>
              <w:ind w:left="152" w:right="-196" w:hanging="180"/>
              <w:cnfStyle w:val="000000100000" w:firstRow="0" w:lastRow="0" w:firstColumn="0" w:lastColumn="0" w:oddVBand="0" w:evenVBand="0" w:oddHBand="1" w:evenHBand="0" w:firstRowFirstColumn="0" w:firstRowLastColumn="0" w:lastRowFirstColumn="0" w:lastRowLastColumn="0"/>
              <w:rPr>
                <w:sz w:val="21"/>
                <w:szCs w:val="21"/>
              </w:rPr>
            </w:pPr>
            <w:r>
              <w:rPr>
                <w:color w:val="000000" w:themeColor="text1"/>
                <w:sz w:val="21"/>
                <w:szCs w:val="21"/>
              </w:rPr>
              <w:t>CMS sponsored a Medicaid Managed Care Roundtable highlighting best practices (report is forthcoming).</w:t>
            </w:r>
          </w:p>
          <w:p w14:paraId="33FD63FE" w14:textId="77777777" w:rsidR="00237EAD" w:rsidRDefault="00237EAD" w:rsidP="00237EAD">
            <w:pPr>
              <w:pStyle w:val="ListParagraph"/>
              <w:ind w:left="164"/>
              <w:cnfStyle w:val="000000100000" w:firstRow="0" w:lastRow="0" w:firstColumn="0" w:lastColumn="0" w:oddVBand="0" w:evenVBand="0" w:oddHBand="1" w:evenHBand="0" w:firstRowFirstColumn="0" w:firstRowLastColumn="0" w:lastRowFirstColumn="0" w:lastRowLastColumn="0"/>
              <w:rPr>
                <w:sz w:val="21"/>
                <w:szCs w:val="21"/>
              </w:rPr>
            </w:pPr>
          </w:p>
          <w:p w14:paraId="1AF1C551" w14:textId="77777777" w:rsidR="00237EAD" w:rsidRDefault="00237EAD" w:rsidP="00237EAD">
            <w:pPr>
              <w:pStyle w:val="ListParagraph"/>
              <w:ind w:left="164" w:right="74"/>
              <w:cnfStyle w:val="000000100000" w:firstRow="0" w:lastRow="0" w:firstColumn="0" w:lastColumn="0" w:oddVBand="0" w:evenVBand="0" w:oddHBand="1" w:evenHBand="0" w:firstRowFirstColumn="0" w:firstRowLastColumn="0" w:lastRowFirstColumn="0" w:lastRowLastColumn="0"/>
              <w:rPr>
                <w:sz w:val="21"/>
                <w:szCs w:val="21"/>
              </w:rPr>
            </w:pPr>
          </w:p>
          <w:p w14:paraId="482B7730" w14:textId="77777777" w:rsidR="00237EAD" w:rsidRDefault="00237EAD" w:rsidP="00237EAD">
            <w:pPr>
              <w:pStyle w:val="ListParagraph"/>
              <w:ind w:left="74" w:right="74"/>
              <w:cnfStyle w:val="000000100000" w:firstRow="0" w:lastRow="0" w:firstColumn="0" w:lastColumn="0" w:oddVBand="0" w:evenVBand="0" w:oddHBand="1" w:evenHBand="0" w:firstRowFirstColumn="0" w:firstRowLastColumn="0" w:lastRowFirstColumn="0" w:lastRowLastColumn="0"/>
              <w:rPr>
                <w:sz w:val="21"/>
                <w:szCs w:val="21"/>
              </w:rPr>
            </w:pPr>
          </w:p>
        </w:tc>
      </w:tr>
      <w:tr w:rsidR="00024984" w14:paraId="276FA339" w14:textId="77777777" w:rsidTr="00024984">
        <w:trPr>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74140DF0" w14:textId="77777777" w:rsidR="00024984" w:rsidRPr="00024984" w:rsidRDefault="00024984" w:rsidP="00024984">
            <w:pPr>
              <w:rPr>
                <w:b w:val="0"/>
                <w:bCs w:val="0"/>
                <w:i/>
                <w:iCs/>
                <w:sz w:val="22"/>
                <w:szCs w:val="22"/>
              </w:rPr>
            </w:pPr>
            <w:r>
              <w:rPr>
                <w:sz w:val="22"/>
                <w:szCs w:val="22"/>
              </w:rPr>
              <w:t xml:space="preserve">Four Walls </w:t>
            </w:r>
            <w:r>
              <w:rPr>
                <w:b w:val="0"/>
                <w:bCs w:val="0"/>
                <w:i/>
                <w:iCs/>
                <w:sz w:val="22"/>
                <w:szCs w:val="22"/>
              </w:rPr>
              <w:t>CMS</w:t>
            </w:r>
          </w:p>
        </w:tc>
        <w:tc>
          <w:tcPr>
            <w:tcW w:w="3690" w:type="dxa"/>
          </w:tcPr>
          <w:p w14:paraId="4067A47A"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r>
              <w:rPr>
                <w:b/>
                <w:bCs/>
                <w:i/>
                <w:iCs/>
                <w:color w:val="000000" w:themeColor="text1"/>
                <w:sz w:val="22"/>
                <w:szCs w:val="20"/>
              </w:rPr>
              <w:t>Issue:</w:t>
            </w:r>
            <w:r>
              <w:rPr>
                <w:color w:val="000000" w:themeColor="text1"/>
                <w:sz w:val="22"/>
                <w:szCs w:val="20"/>
              </w:rPr>
              <w:t xml:space="preserve"> CMS’s grace period for compliance with the “4 walls” restriction for Medicaid clinic services will expire on October </w:t>
            </w:r>
            <w:r w:rsidR="003D1CC4">
              <w:rPr>
                <w:color w:val="000000" w:themeColor="text1"/>
                <w:sz w:val="22"/>
                <w:szCs w:val="20"/>
              </w:rPr>
              <w:t>3</w:t>
            </w:r>
            <w:r>
              <w:rPr>
                <w:color w:val="000000" w:themeColor="text1"/>
                <w:sz w:val="22"/>
                <w:szCs w:val="20"/>
              </w:rPr>
              <w:t xml:space="preserve">1, 2021.  </w:t>
            </w:r>
          </w:p>
          <w:p w14:paraId="631DB290"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color w:val="000000" w:themeColor="text1"/>
                <w:sz w:val="22"/>
                <w:szCs w:val="20"/>
              </w:rPr>
            </w:pPr>
          </w:p>
          <w:p w14:paraId="05581AC7"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rFonts w:cs="Arial"/>
                <w:b/>
                <w:i/>
                <w:sz w:val="21"/>
                <w:szCs w:val="21"/>
              </w:rPr>
            </w:pPr>
            <w:r>
              <w:rPr>
                <w:b/>
                <w:bCs/>
                <w:i/>
                <w:iCs/>
                <w:color w:val="000000" w:themeColor="text1"/>
                <w:sz w:val="22"/>
                <w:szCs w:val="20"/>
              </w:rPr>
              <w:t xml:space="preserve">Issue: </w:t>
            </w:r>
            <w:r>
              <w:rPr>
                <w:color w:val="000000" w:themeColor="text1"/>
                <w:sz w:val="22"/>
                <w:szCs w:val="20"/>
              </w:rPr>
              <w:t>Need for re-interpretation because the services and reimbursement are not the same under an FQHC status versus a tribal clinic.</w:t>
            </w:r>
          </w:p>
        </w:tc>
        <w:tc>
          <w:tcPr>
            <w:tcW w:w="4230" w:type="dxa"/>
          </w:tcPr>
          <w:p w14:paraId="2007FD51" w14:textId="77777777" w:rsidR="00024984" w:rsidRDefault="00024984" w:rsidP="00024984">
            <w:pPr>
              <w:cnfStyle w:val="000000000000" w:firstRow="0" w:lastRow="0" w:firstColumn="0" w:lastColumn="0" w:oddVBand="0" w:evenVBand="0" w:oddHBand="0" w:evenHBand="0" w:firstRowFirstColumn="0" w:firstRowLastColumn="0" w:lastRowFirstColumn="0" w:lastRowLastColumn="0"/>
              <w:rPr>
                <w:sz w:val="21"/>
              </w:rPr>
            </w:pPr>
            <w:r>
              <w:rPr>
                <w:b/>
                <w:i/>
                <w:sz w:val="21"/>
              </w:rPr>
              <w:t>Tribal Recommendations</w:t>
            </w:r>
            <w:r>
              <w:rPr>
                <w:sz w:val="21"/>
              </w:rPr>
              <w:t xml:space="preserve"> </w:t>
            </w:r>
          </w:p>
          <w:p w14:paraId="6D8DC8AA" w14:textId="77777777" w:rsidR="00024984" w:rsidRPr="0027108A" w:rsidRDefault="00024984" w:rsidP="00024984">
            <w:pPr>
              <w:pStyle w:val="ListParagraph"/>
              <w:numPr>
                <w:ilvl w:val="0"/>
                <w:numId w:val="8"/>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rPr>
              <w:t xml:space="preserve">Re-evaluate four walls interpretation due to the differences between reimbursement for services under FQHC versus a </w:t>
            </w:r>
            <w:proofErr w:type="gramStart"/>
            <w:r>
              <w:rPr>
                <w:sz w:val="21"/>
              </w:rPr>
              <w:t>Tribal clinic designations</w:t>
            </w:r>
            <w:proofErr w:type="gramEnd"/>
            <w:r>
              <w:rPr>
                <w:sz w:val="21"/>
              </w:rPr>
              <w:t>.</w:t>
            </w:r>
          </w:p>
          <w:p w14:paraId="73582375" w14:textId="77777777" w:rsidR="0027108A" w:rsidRPr="0027108A" w:rsidRDefault="0027108A" w:rsidP="0027108A">
            <w:pPr>
              <w:ind w:left="-16"/>
              <w:cnfStyle w:val="000000000000" w:firstRow="0" w:lastRow="0" w:firstColumn="0" w:lastColumn="0" w:oddVBand="0" w:evenVBand="0" w:oddHBand="0" w:evenHBand="0" w:firstRowFirstColumn="0" w:firstRowLastColumn="0" w:lastRowFirstColumn="0" w:lastRowLastColumn="0"/>
              <w:rPr>
                <w:sz w:val="21"/>
                <w:szCs w:val="21"/>
              </w:rPr>
            </w:pPr>
            <w:r w:rsidRPr="0027108A">
              <w:rPr>
                <w:b/>
                <w:bCs/>
                <w:sz w:val="21"/>
              </w:rPr>
              <w:t>TSGAC Recommendations:</w:t>
            </w:r>
          </w:p>
          <w:p w14:paraId="17552988" w14:textId="77777777" w:rsidR="0027108A" w:rsidRDefault="0027108A" w:rsidP="00024984">
            <w:pPr>
              <w:pStyle w:val="ListParagraph"/>
              <w:numPr>
                <w:ilvl w:val="0"/>
                <w:numId w:val="8"/>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rPr>
              <w:t>CMS stated it would respond in writing to the TTAG’s request that the four walls limitation be reinterpreted.</w:t>
            </w:r>
          </w:p>
        </w:tc>
        <w:tc>
          <w:tcPr>
            <w:tcW w:w="3060" w:type="dxa"/>
          </w:tcPr>
          <w:p w14:paraId="3926FAC8" w14:textId="77777777" w:rsidR="0027108A" w:rsidRPr="0027108A" w:rsidRDefault="00024984" w:rsidP="003D4A77">
            <w:pPr>
              <w:pStyle w:val="ListParagraph"/>
              <w:numPr>
                <w:ilvl w:val="0"/>
                <w:numId w:val="8"/>
              </w:numPr>
              <w:ind w:left="254"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CMS </w:t>
            </w:r>
            <w:r w:rsidR="009F7381">
              <w:rPr>
                <w:sz w:val="21"/>
                <w:szCs w:val="21"/>
              </w:rPr>
              <w:t xml:space="preserve">has requested feedback from </w:t>
            </w:r>
            <w:r w:rsidR="00DD0D3F">
              <w:rPr>
                <w:sz w:val="21"/>
                <w:szCs w:val="21"/>
              </w:rPr>
              <w:t>Tribes</w:t>
            </w:r>
            <w:r w:rsidR="009F7381">
              <w:rPr>
                <w:sz w:val="21"/>
                <w:szCs w:val="21"/>
              </w:rPr>
              <w:t xml:space="preserve"> on whether the Tribal Medicaid FQHC workaround is working for </w:t>
            </w:r>
            <w:r w:rsidR="00DD0D3F">
              <w:rPr>
                <w:sz w:val="21"/>
                <w:szCs w:val="21"/>
              </w:rPr>
              <w:t>Tribes</w:t>
            </w:r>
            <w:r w:rsidR="009F7381">
              <w:rPr>
                <w:sz w:val="21"/>
                <w:szCs w:val="21"/>
              </w:rPr>
              <w:t>, and if not, why not.</w:t>
            </w:r>
          </w:p>
        </w:tc>
      </w:tr>
      <w:tr w:rsidR="00024984" w14:paraId="233E5136"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00D59003" w14:textId="77777777" w:rsidR="00024984" w:rsidRDefault="00024984" w:rsidP="00024984">
            <w:pPr>
              <w:rPr>
                <w:b w:val="0"/>
                <w:bCs w:val="0"/>
                <w:sz w:val="22"/>
                <w:szCs w:val="22"/>
              </w:rPr>
            </w:pPr>
            <w:r>
              <w:rPr>
                <w:sz w:val="22"/>
                <w:szCs w:val="22"/>
              </w:rPr>
              <w:t xml:space="preserve">Marketplace </w:t>
            </w:r>
          </w:p>
          <w:p w14:paraId="1C026F73" w14:textId="77777777" w:rsidR="00024984" w:rsidRDefault="00024984" w:rsidP="00024984">
            <w:pPr>
              <w:rPr>
                <w:b w:val="0"/>
                <w:bCs w:val="0"/>
                <w:i/>
                <w:iCs/>
                <w:sz w:val="22"/>
                <w:szCs w:val="22"/>
              </w:rPr>
            </w:pPr>
            <w:r>
              <w:rPr>
                <w:b w:val="0"/>
                <w:bCs w:val="0"/>
                <w:i/>
                <w:iCs/>
                <w:sz w:val="22"/>
                <w:szCs w:val="22"/>
              </w:rPr>
              <w:t>CMS</w:t>
            </w:r>
          </w:p>
        </w:tc>
        <w:tc>
          <w:tcPr>
            <w:tcW w:w="3690" w:type="dxa"/>
          </w:tcPr>
          <w:p w14:paraId="247A56A3"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rFonts w:cs="Arial"/>
                <w:b/>
                <w:i/>
                <w:sz w:val="21"/>
                <w:szCs w:val="21"/>
              </w:rPr>
            </w:pPr>
            <w:r>
              <w:rPr>
                <w:rFonts w:cs="Arial"/>
                <w:b/>
                <w:i/>
                <w:sz w:val="21"/>
                <w:szCs w:val="21"/>
              </w:rPr>
              <w:t>Issues:</w:t>
            </w:r>
          </w:p>
          <w:p w14:paraId="045A719D" w14:textId="77777777" w:rsidR="00024984" w:rsidRDefault="00024984" w:rsidP="00024984">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rFonts w:cs="Arial"/>
                <w:sz w:val="21"/>
                <w:szCs w:val="21"/>
              </w:rPr>
              <w:t xml:space="preserve">Marketplace enrollment is increasing, but compared nationwide it is not a significant increase. </w:t>
            </w:r>
          </w:p>
          <w:p w14:paraId="1CC54D52" w14:textId="77777777" w:rsidR="00024984" w:rsidRDefault="00024984" w:rsidP="00024984">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sz w:val="21"/>
                <w:szCs w:val="21"/>
              </w:rPr>
              <w:t>Increase AI/AN (FFM) enrollment with zero and limited cost-sharing protections.</w:t>
            </w:r>
          </w:p>
          <w:p w14:paraId="5834043D" w14:textId="77777777" w:rsidR="00024984" w:rsidRDefault="00024984" w:rsidP="00024984">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sz w:val="21"/>
                <w:szCs w:val="21"/>
              </w:rPr>
              <w:lastRenderedPageBreak/>
              <w:t>Increase enrollment in bronze metal level Marketplace plan for AI/AN enrollees to receive the greatest value.</w:t>
            </w:r>
          </w:p>
          <w:p w14:paraId="5E937841" w14:textId="77777777" w:rsidR="00024984" w:rsidRDefault="00024984" w:rsidP="00024984">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rFonts w:cs="Arial"/>
                <w:i/>
                <w:sz w:val="21"/>
                <w:szCs w:val="21"/>
              </w:rPr>
              <w:t>Enrollment Issue somewhat-resolved</w:t>
            </w:r>
            <w:r>
              <w:rPr>
                <w:rFonts w:cs="Arial"/>
                <w:sz w:val="21"/>
                <w:szCs w:val="21"/>
              </w:rPr>
              <w:t xml:space="preserve">: a member of a federally recognized tribe won’t be able to use the special cost-sharing savings if they enroll in the same Marketplace plan with a non-tribal member. </w:t>
            </w:r>
            <w:r>
              <w:rPr>
                <w:rFonts w:cs="Arial"/>
                <w:bCs/>
                <w:sz w:val="21"/>
                <w:szCs w:val="21"/>
              </w:rPr>
              <w:t>Tribal members and non-tribal members should enroll in separate plans to take advantage of all potential savings.</w:t>
            </w:r>
          </w:p>
        </w:tc>
        <w:tc>
          <w:tcPr>
            <w:tcW w:w="4230" w:type="dxa"/>
          </w:tcPr>
          <w:p w14:paraId="5A7940E9" w14:textId="77777777" w:rsidR="00A825CA" w:rsidRDefault="00A825CA" w:rsidP="00A825CA">
            <w:pPr>
              <w:cnfStyle w:val="000000100000" w:firstRow="0" w:lastRow="0" w:firstColumn="0" w:lastColumn="0" w:oddVBand="0" w:evenVBand="0" w:oddHBand="1" w:evenHBand="0" w:firstRowFirstColumn="0" w:firstRowLastColumn="0" w:lastRowFirstColumn="0" w:lastRowLastColumn="0"/>
              <w:rPr>
                <w:sz w:val="21"/>
              </w:rPr>
            </w:pPr>
            <w:r>
              <w:rPr>
                <w:b/>
                <w:i/>
                <w:sz w:val="21"/>
              </w:rPr>
              <w:lastRenderedPageBreak/>
              <w:t>Tribal Recommendations:</w:t>
            </w:r>
          </w:p>
          <w:p w14:paraId="78BC08AD" w14:textId="77777777" w:rsidR="00A825CA" w:rsidRDefault="00A825CA" w:rsidP="00A825CA">
            <w:pPr>
              <w:pStyle w:val="ListParagraph"/>
              <w:numPr>
                <w:ilvl w:val="0"/>
                <w:numId w:val="39"/>
              </w:numPr>
              <w:ind w:left="354" w:hanging="270"/>
              <w:cnfStyle w:val="000000100000" w:firstRow="0" w:lastRow="0" w:firstColumn="0" w:lastColumn="0" w:oddVBand="0" w:evenVBand="0" w:oddHBand="1" w:evenHBand="0" w:firstRowFirstColumn="0" w:firstRowLastColumn="0" w:lastRowFirstColumn="0" w:lastRowLastColumn="0"/>
              <w:rPr>
                <w:sz w:val="22"/>
                <w:szCs w:val="28"/>
              </w:rPr>
            </w:pPr>
            <w:r>
              <w:rPr>
                <w:sz w:val="22"/>
                <w:szCs w:val="28"/>
              </w:rPr>
              <w:t>Continue to gather and report Marketplace metrics including returning to the regular year-end (November) reports.</w:t>
            </w:r>
          </w:p>
          <w:p w14:paraId="60A5D37A" w14:textId="77777777" w:rsidR="00A825CA" w:rsidRDefault="00A825CA" w:rsidP="00A825CA">
            <w:pPr>
              <w:pStyle w:val="ListParagraph"/>
              <w:numPr>
                <w:ilvl w:val="0"/>
                <w:numId w:val="39"/>
              </w:numPr>
              <w:ind w:left="354" w:hanging="270"/>
              <w:cnfStyle w:val="000000100000" w:firstRow="0" w:lastRow="0" w:firstColumn="0" w:lastColumn="0" w:oddVBand="0" w:evenVBand="0" w:oddHBand="1" w:evenHBand="0" w:firstRowFirstColumn="0" w:firstRowLastColumn="0" w:lastRowFirstColumn="0" w:lastRowLastColumn="0"/>
              <w:rPr>
                <w:sz w:val="22"/>
                <w:szCs w:val="28"/>
              </w:rPr>
            </w:pPr>
            <w:r>
              <w:rPr>
                <w:sz w:val="22"/>
                <w:szCs w:val="28"/>
              </w:rPr>
              <w:lastRenderedPageBreak/>
              <w:t>Analyze reduced net premium costs for Marketplace coverage under the American Rescue Plan Act.</w:t>
            </w:r>
          </w:p>
          <w:p w14:paraId="54AEC842" w14:textId="77777777" w:rsidR="00A825CA" w:rsidRDefault="00A825CA" w:rsidP="00A825CA">
            <w:pPr>
              <w:pStyle w:val="ListParagraph"/>
              <w:numPr>
                <w:ilvl w:val="0"/>
                <w:numId w:val="39"/>
              </w:numPr>
              <w:ind w:left="354" w:hanging="270"/>
              <w:cnfStyle w:val="000000100000" w:firstRow="0" w:lastRow="0" w:firstColumn="0" w:lastColumn="0" w:oddVBand="0" w:evenVBand="0" w:oddHBand="1" w:evenHBand="0" w:firstRowFirstColumn="0" w:firstRowLastColumn="0" w:lastRowFirstColumn="0" w:lastRowLastColumn="0"/>
              <w:rPr>
                <w:sz w:val="22"/>
                <w:szCs w:val="28"/>
              </w:rPr>
            </w:pPr>
            <w:r>
              <w:rPr>
                <w:sz w:val="22"/>
                <w:szCs w:val="28"/>
              </w:rPr>
              <w:t>Continue to work with TTAG on identification of helpful adjustments or additions, including on-screen notices that appear during the Marketplace Application process.</w:t>
            </w:r>
          </w:p>
          <w:p w14:paraId="50457D1E" w14:textId="77777777" w:rsidR="00A825CA" w:rsidRDefault="00A825CA" w:rsidP="00A825CA">
            <w:pPr>
              <w:pStyle w:val="ListParagraph"/>
              <w:numPr>
                <w:ilvl w:val="0"/>
                <w:numId w:val="39"/>
              </w:numPr>
              <w:ind w:left="354" w:hanging="270"/>
              <w:cnfStyle w:val="000000100000" w:firstRow="0" w:lastRow="0" w:firstColumn="0" w:lastColumn="0" w:oddVBand="0" w:evenVBand="0" w:oddHBand="1" w:evenHBand="0" w:firstRowFirstColumn="0" w:firstRowLastColumn="0" w:lastRowFirstColumn="0" w:lastRowLastColumn="0"/>
              <w:rPr>
                <w:sz w:val="22"/>
                <w:szCs w:val="28"/>
              </w:rPr>
            </w:pPr>
            <w:r>
              <w:rPr>
                <w:sz w:val="22"/>
                <w:szCs w:val="28"/>
              </w:rPr>
              <w:t>Expansion of subsidies to present more opportunities to enroll.</w:t>
            </w:r>
          </w:p>
          <w:p w14:paraId="14DDCC61" w14:textId="77777777" w:rsidR="00A825CA" w:rsidRDefault="00A825CA" w:rsidP="00A825CA">
            <w:pPr>
              <w:pStyle w:val="ListParagraph"/>
              <w:numPr>
                <w:ilvl w:val="0"/>
                <w:numId w:val="39"/>
              </w:numPr>
              <w:ind w:left="354" w:hanging="270"/>
              <w:cnfStyle w:val="000000100000" w:firstRow="0" w:lastRow="0" w:firstColumn="0" w:lastColumn="0" w:oddVBand="0" w:evenVBand="0" w:oddHBand="1" w:evenHBand="0" w:firstRowFirstColumn="0" w:firstRowLastColumn="0" w:lastRowFirstColumn="0" w:lastRowLastColumn="0"/>
              <w:rPr>
                <w:sz w:val="21"/>
              </w:rPr>
            </w:pPr>
            <w:r>
              <w:rPr>
                <w:sz w:val="22"/>
                <w:szCs w:val="28"/>
              </w:rPr>
              <w:t>Enhance premium sponsorship.</w:t>
            </w:r>
          </w:p>
          <w:p w14:paraId="1BF66EF8" w14:textId="77777777" w:rsidR="00A825CA" w:rsidRDefault="00A825CA" w:rsidP="00A825CA">
            <w:pPr>
              <w:cnfStyle w:val="000000100000" w:firstRow="0" w:lastRow="0" w:firstColumn="0" w:lastColumn="0" w:oddVBand="0" w:evenVBand="0" w:oddHBand="1" w:evenHBand="0" w:firstRowFirstColumn="0" w:firstRowLastColumn="0" w:lastRowFirstColumn="0" w:lastRowLastColumn="0"/>
              <w:rPr>
                <w:b/>
                <w:bCs/>
                <w:i/>
                <w:iCs/>
                <w:sz w:val="21"/>
              </w:rPr>
            </w:pPr>
            <w:r>
              <w:rPr>
                <w:b/>
                <w:bCs/>
                <w:i/>
                <w:iCs/>
                <w:sz w:val="21"/>
              </w:rPr>
              <w:t>TSGAC Actions:</w:t>
            </w:r>
          </w:p>
          <w:p w14:paraId="580BEFBE" w14:textId="77777777" w:rsidR="00A825CA" w:rsidRDefault="00A825CA" w:rsidP="00A825CA">
            <w:pPr>
              <w:pStyle w:val="ListParagraph"/>
              <w:numPr>
                <w:ilvl w:val="0"/>
                <w:numId w:val="40"/>
              </w:numPr>
              <w:ind w:left="354" w:hanging="270"/>
              <w:cnfStyle w:val="000000100000" w:firstRow="0" w:lastRow="0" w:firstColumn="0" w:lastColumn="0" w:oddVBand="0" w:evenVBand="0" w:oddHBand="1" w:evenHBand="0" w:firstRowFirstColumn="0" w:firstRowLastColumn="0" w:lastRowFirstColumn="0" w:lastRowLastColumn="0"/>
              <w:rPr>
                <w:sz w:val="21"/>
              </w:rPr>
            </w:pPr>
            <w:r>
              <w:rPr>
                <w:sz w:val="21"/>
              </w:rPr>
              <w:t>Follow the CMS and IRS implementation plan on the American Rescue Plan provisions with significant increases in premium subsidies. These provisions will be a significant increase in resources to enroll in the exchanges.</w:t>
            </w:r>
          </w:p>
          <w:p w14:paraId="5CF92915" w14:textId="77777777" w:rsidR="00A825CA" w:rsidRDefault="00A825CA" w:rsidP="00A825CA">
            <w:pPr>
              <w:pStyle w:val="ListParagraph"/>
              <w:numPr>
                <w:ilvl w:val="0"/>
                <w:numId w:val="40"/>
              </w:numPr>
              <w:ind w:left="354" w:hanging="270"/>
              <w:cnfStyle w:val="000000100000" w:firstRow="0" w:lastRow="0" w:firstColumn="0" w:lastColumn="0" w:oddVBand="0" w:evenVBand="0" w:oddHBand="1" w:evenHBand="0" w:firstRowFirstColumn="0" w:firstRowLastColumn="0" w:lastRowFirstColumn="0" w:lastRowLastColumn="0"/>
              <w:rPr>
                <w:sz w:val="21"/>
              </w:rPr>
            </w:pPr>
            <w:r>
              <w:rPr>
                <w:sz w:val="21"/>
              </w:rPr>
              <w:t xml:space="preserve">Educate </w:t>
            </w:r>
            <w:r w:rsidR="00DD0D3F">
              <w:rPr>
                <w:sz w:val="21"/>
              </w:rPr>
              <w:t>Tribes</w:t>
            </w:r>
            <w:r>
              <w:rPr>
                <w:sz w:val="21"/>
              </w:rPr>
              <w:t xml:space="preserve"> and Tribal members on recent changes on HealthCare.gov where Tribal members are informed of not enrolling in the same Marketplace plan with non-Tribal members to maintain cost-sharing protections.</w:t>
            </w:r>
          </w:p>
          <w:p w14:paraId="5DA9FB65" w14:textId="77777777" w:rsidR="00A825CA" w:rsidRDefault="00A825CA" w:rsidP="00A825CA">
            <w:pPr>
              <w:pStyle w:val="ListParagraph"/>
              <w:numPr>
                <w:ilvl w:val="0"/>
                <w:numId w:val="40"/>
              </w:numPr>
              <w:ind w:left="354" w:hanging="270"/>
              <w:cnfStyle w:val="000000100000" w:firstRow="0" w:lastRow="0" w:firstColumn="0" w:lastColumn="0" w:oddVBand="0" w:evenVBand="0" w:oddHBand="1" w:evenHBand="0" w:firstRowFirstColumn="0" w:firstRowLastColumn="0" w:lastRowFirstColumn="0" w:lastRowLastColumn="0"/>
              <w:rPr>
                <w:sz w:val="21"/>
              </w:rPr>
            </w:pPr>
            <w:r>
              <w:rPr>
                <w:sz w:val="21"/>
              </w:rPr>
              <w:t>Request a significant outreach effort for AI/ANs because the value in plans will significantly improve. Including flexible funding for Tribal Navigators.</w:t>
            </w:r>
          </w:p>
          <w:p w14:paraId="5D1E39B1" w14:textId="77777777" w:rsidR="00024984" w:rsidRPr="00A825CA" w:rsidRDefault="00A825CA" w:rsidP="00A825CA">
            <w:pPr>
              <w:pStyle w:val="ListParagraph"/>
              <w:numPr>
                <w:ilvl w:val="0"/>
                <w:numId w:val="40"/>
              </w:numPr>
              <w:ind w:left="354" w:hanging="270"/>
              <w:cnfStyle w:val="000000100000" w:firstRow="0" w:lastRow="0" w:firstColumn="0" w:lastColumn="0" w:oddVBand="0" w:evenVBand="0" w:oddHBand="1" w:evenHBand="0" w:firstRowFirstColumn="0" w:firstRowLastColumn="0" w:lastRowFirstColumn="0" w:lastRowLastColumn="0"/>
              <w:rPr>
                <w:sz w:val="21"/>
              </w:rPr>
            </w:pPr>
            <w:r w:rsidRPr="00A825CA">
              <w:rPr>
                <w:sz w:val="21"/>
              </w:rPr>
              <w:t>Educate Tribal employers of the opportunity to consider use of Marketplace for coverage of Tribal employees to reduce premiums and provide access to Indian-specific cost-sharing protections for Tribal members.</w:t>
            </w:r>
          </w:p>
        </w:tc>
        <w:tc>
          <w:tcPr>
            <w:tcW w:w="3060" w:type="dxa"/>
          </w:tcPr>
          <w:p w14:paraId="6B9819A2" w14:textId="77777777" w:rsidR="00024984" w:rsidRDefault="00024984" w:rsidP="00024984">
            <w:pPr>
              <w:pStyle w:val="ListParagraph"/>
              <w:numPr>
                <w:ilvl w:val="0"/>
                <w:numId w:val="8"/>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TTAG Policy Subcommittee recommended change to Q&amp;A for households consisting of AI/ANs and non-AI/AN family members.  CCIIO made the requested changes.</w:t>
            </w:r>
          </w:p>
          <w:p w14:paraId="451C4FFE" w14:textId="77777777" w:rsidR="00024984" w:rsidRDefault="00024984" w:rsidP="00024984">
            <w:pPr>
              <w:pStyle w:val="ListParagraph"/>
              <w:ind w:left="254"/>
              <w:cnfStyle w:val="000000100000" w:firstRow="0" w:lastRow="0" w:firstColumn="0" w:lastColumn="0" w:oddVBand="0" w:evenVBand="0" w:oddHBand="1" w:evenHBand="0" w:firstRowFirstColumn="0" w:firstRowLastColumn="0" w:lastRowFirstColumn="0" w:lastRowLastColumn="0"/>
              <w:rPr>
                <w:b/>
                <w:bCs/>
                <w:sz w:val="21"/>
                <w:szCs w:val="21"/>
              </w:rPr>
            </w:pPr>
          </w:p>
          <w:p w14:paraId="6A358BBA"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b/>
                <w:bCs/>
                <w:sz w:val="21"/>
                <w:szCs w:val="21"/>
              </w:rPr>
            </w:pPr>
          </w:p>
        </w:tc>
      </w:tr>
    </w:tbl>
    <w:p w14:paraId="28BE5B03" w14:textId="77777777" w:rsidR="001E36A4" w:rsidRDefault="001E36A4"/>
    <w:tbl>
      <w:tblPr>
        <w:tblStyle w:val="GridTable4-Accent3"/>
        <w:tblpPr w:leftFromText="180" w:rightFromText="180" w:vertAnchor="page" w:horzAnchor="margin" w:tblpXSpec="center" w:tblpY="2668"/>
        <w:tblW w:w="12775" w:type="dxa"/>
        <w:tblLayout w:type="fixed"/>
        <w:tblLook w:val="04A0" w:firstRow="1" w:lastRow="0" w:firstColumn="1" w:lastColumn="0" w:noHBand="0" w:noVBand="1"/>
      </w:tblPr>
      <w:tblGrid>
        <w:gridCol w:w="1795"/>
        <w:gridCol w:w="3690"/>
        <w:gridCol w:w="4230"/>
        <w:gridCol w:w="3060"/>
      </w:tblGrid>
      <w:tr w:rsidR="00A825CA" w14:paraId="50AD10C4" w14:textId="77777777" w:rsidTr="00A825CA">
        <w:trPr>
          <w:cnfStyle w:val="100000000000" w:firstRow="1" w:lastRow="0" w:firstColumn="0" w:lastColumn="0" w:oddVBand="0" w:evenVBand="0" w:oddHBand="0"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2775" w:type="dxa"/>
            <w:gridSpan w:val="4"/>
            <w:shd w:val="clear" w:color="auto" w:fill="D9E2F3" w:themeFill="accent1" w:themeFillTint="33"/>
          </w:tcPr>
          <w:p w14:paraId="29B64620" w14:textId="77777777" w:rsidR="00A825CA" w:rsidRPr="00A825CA" w:rsidRDefault="00A825CA" w:rsidP="00A825CA">
            <w:pPr>
              <w:jc w:val="center"/>
              <w:rPr>
                <w:sz w:val="21"/>
                <w:szCs w:val="21"/>
              </w:rPr>
            </w:pPr>
            <w:r w:rsidRPr="00A825CA">
              <w:rPr>
                <w:color w:val="2F5496" w:themeColor="accent1" w:themeShade="BF"/>
              </w:rPr>
              <w:lastRenderedPageBreak/>
              <w:t>VA PRIORITIES</w:t>
            </w:r>
          </w:p>
        </w:tc>
      </w:tr>
      <w:tr w:rsidR="00024984" w14:paraId="51A716FE" w14:textId="77777777" w:rsidTr="0002498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1795" w:type="dxa"/>
          </w:tcPr>
          <w:p w14:paraId="1A691290" w14:textId="77777777" w:rsidR="00024984" w:rsidRDefault="00024984" w:rsidP="00024984">
            <w:pPr>
              <w:rPr>
                <w:b w:val="0"/>
                <w:bCs w:val="0"/>
                <w:sz w:val="22"/>
                <w:szCs w:val="22"/>
              </w:rPr>
            </w:pPr>
            <w:r>
              <w:rPr>
                <w:sz w:val="22"/>
                <w:szCs w:val="22"/>
              </w:rPr>
              <w:t>VA Reimbursement/ VA-THP Contracts</w:t>
            </w:r>
          </w:p>
          <w:p w14:paraId="4BF9CC3E" w14:textId="77777777" w:rsidR="00024984" w:rsidRDefault="00024984" w:rsidP="00024984">
            <w:pPr>
              <w:rPr>
                <w:sz w:val="22"/>
                <w:szCs w:val="22"/>
              </w:rPr>
            </w:pPr>
            <w:proofErr w:type="gramStart"/>
            <w:r>
              <w:rPr>
                <w:b w:val="0"/>
                <w:bCs w:val="0"/>
                <w:i/>
                <w:iCs/>
                <w:sz w:val="22"/>
                <w:szCs w:val="22"/>
              </w:rPr>
              <w:t>IHS,VA</w:t>
            </w:r>
            <w:proofErr w:type="gramEnd"/>
          </w:p>
        </w:tc>
        <w:tc>
          <w:tcPr>
            <w:tcW w:w="3690" w:type="dxa"/>
          </w:tcPr>
          <w:p w14:paraId="491D4DA0"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sz w:val="21"/>
                <w:szCs w:val="21"/>
              </w:rPr>
            </w:pPr>
            <w:r>
              <w:rPr>
                <w:b/>
                <w:i/>
                <w:sz w:val="21"/>
                <w:szCs w:val="21"/>
              </w:rPr>
              <w:t>Issues</w:t>
            </w:r>
            <w:r>
              <w:rPr>
                <w:sz w:val="21"/>
                <w:szCs w:val="21"/>
              </w:rPr>
              <w:t xml:space="preserve">: </w:t>
            </w:r>
          </w:p>
          <w:p w14:paraId="0437CA92" w14:textId="77777777" w:rsidR="00024984" w:rsidRDefault="000249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VA and IHS amended the national Reimbursement Agreement:</w:t>
            </w:r>
          </w:p>
          <w:p w14:paraId="6B62F58A" w14:textId="77777777" w:rsidR="00024984" w:rsidRDefault="00024984" w:rsidP="00024984">
            <w:pPr>
              <w:pStyle w:val="ListParagraph"/>
              <w:numPr>
                <w:ilvl w:val="0"/>
                <w:numId w:val="5"/>
              </w:numPr>
              <w:ind w:left="43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Includes telehealth as “direct care services”;</w:t>
            </w:r>
          </w:p>
          <w:p w14:paraId="4E72994E" w14:textId="77777777" w:rsidR="00024984" w:rsidRDefault="00024984" w:rsidP="00024984">
            <w:pPr>
              <w:pStyle w:val="ListParagraph"/>
              <w:numPr>
                <w:ilvl w:val="0"/>
                <w:numId w:val="5"/>
              </w:numPr>
              <w:ind w:left="347"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Extension of agreement until June 30, 2024;</w:t>
            </w:r>
          </w:p>
          <w:p w14:paraId="1D702E03" w14:textId="77777777" w:rsidR="00024984" w:rsidRDefault="00024984" w:rsidP="00024984">
            <w:pPr>
              <w:pStyle w:val="ListParagraph"/>
              <w:numPr>
                <w:ilvl w:val="0"/>
                <w:numId w:val="5"/>
              </w:numPr>
              <w:ind w:left="248"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Clarifies language in quality section for certification and accreditation requirements; and</w:t>
            </w:r>
          </w:p>
          <w:p w14:paraId="73A1F969" w14:textId="77777777" w:rsidR="00024984" w:rsidRDefault="00024984" w:rsidP="00024984">
            <w:pPr>
              <w:pStyle w:val="ListParagraph"/>
              <w:numPr>
                <w:ilvl w:val="0"/>
                <w:numId w:val="5"/>
              </w:numPr>
              <w:ind w:left="248" w:hanging="180"/>
              <w:cnfStyle w:val="000000100000" w:firstRow="0" w:lastRow="0" w:firstColumn="0" w:lastColumn="0" w:oddVBand="0" w:evenVBand="0" w:oddHBand="1" w:evenHBand="0" w:firstRowFirstColumn="0" w:firstRowLastColumn="0" w:lastRowFirstColumn="0" w:lastRowLastColumn="0"/>
              <w:rPr>
                <w:sz w:val="21"/>
                <w:szCs w:val="21"/>
              </w:rPr>
            </w:pPr>
            <w:r>
              <w:rPr>
                <w:bCs/>
                <w:sz w:val="21"/>
                <w:szCs w:val="21"/>
              </w:rPr>
              <w:t>Adds new section for reimbursement for care provided by IHS through PRC program during COVID-19 emergency (need to make this permanent).</w:t>
            </w:r>
          </w:p>
          <w:p w14:paraId="27EA268F" w14:textId="77777777" w:rsidR="00024984" w:rsidRDefault="000249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Reimbursement from VA for PRC Services</w:t>
            </w:r>
          </w:p>
          <w:p w14:paraId="5CD607B3" w14:textId="77777777" w:rsidR="00024984" w:rsidRDefault="000249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Elimination of co-pays for AI/AN Veterans</w:t>
            </w:r>
          </w:p>
          <w:p w14:paraId="19F2505F" w14:textId="77777777" w:rsidR="00024984" w:rsidRDefault="000249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Transparency and enhancement of Tribal Health Program reimbursement agreements.</w:t>
            </w:r>
          </w:p>
          <w:p w14:paraId="00020709" w14:textId="77777777" w:rsidR="00024984" w:rsidRDefault="000249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Development and implementation of the VA Tribal Advisory Committee.</w:t>
            </w:r>
          </w:p>
          <w:p w14:paraId="68D4926C" w14:textId="77777777" w:rsidR="00A32884" w:rsidRDefault="00A32884" w:rsidP="00024984">
            <w:pPr>
              <w:pStyle w:val="ListParagraph"/>
              <w:numPr>
                <w:ilvl w:val="0"/>
                <w:numId w:val="21"/>
              </w:numPr>
              <w:ind w:left="347"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VA is developing separate IHS and tribal agreements to implement PRC reimbursement.  Tribes need to be involved in negotiation of the tribal agreement.</w:t>
            </w:r>
          </w:p>
        </w:tc>
        <w:tc>
          <w:tcPr>
            <w:tcW w:w="4230" w:type="dxa"/>
          </w:tcPr>
          <w:p w14:paraId="3E02353E" w14:textId="77777777" w:rsidR="00024984" w:rsidRDefault="008D048B" w:rsidP="00024984">
            <w:pPr>
              <w:cnfStyle w:val="000000100000" w:firstRow="0" w:lastRow="0" w:firstColumn="0" w:lastColumn="0" w:oddVBand="0" w:evenVBand="0" w:oddHBand="1" w:evenHBand="0" w:firstRowFirstColumn="0" w:firstRowLastColumn="0" w:lastRowFirstColumn="0" w:lastRowLastColumn="0"/>
              <w:rPr>
                <w:b/>
                <w:sz w:val="21"/>
                <w:szCs w:val="21"/>
              </w:rPr>
            </w:pPr>
            <w:hyperlink r:id="rId18" w:history="1">
              <w:r w:rsidR="00024984">
                <w:rPr>
                  <w:rStyle w:val="Hyperlink"/>
                  <w:b/>
                  <w:sz w:val="21"/>
                  <w:szCs w:val="21"/>
                </w:rPr>
                <w:t>IHS &amp; VA draft final MOU</w:t>
              </w:r>
            </w:hyperlink>
          </w:p>
          <w:p w14:paraId="75C16476"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b/>
                <w:bCs/>
                <w:sz w:val="21"/>
                <w:szCs w:val="21"/>
              </w:rPr>
            </w:pPr>
          </w:p>
          <w:p w14:paraId="1737F403" w14:textId="77777777" w:rsidR="00024984" w:rsidRDefault="008D048B" w:rsidP="00024984">
            <w:pPr>
              <w:cnfStyle w:val="000000100000" w:firstRow="0" w:lastRow="0" w:firstColumn="0" w:lastColumn="0" w:oddVBand="0" w:evenVBand="0" w:oddHBand="1" w:evenHBand="0" w:firstRowFirstColumn="0" w:firstRowLastColumn="0" w:lastRowFirstColumn="0" w:lastRowLastColumn="0"/>
              <w:rPr>
                <w:b/>
                <w:bCs/>
                <w:sz w:val="21"/>
                <w:szCs w:val="21"/>
              </w:rPr>
            </w:pPr>
            <w:hyperlink r:id="rId19" w:history="1">
              <w:r w:rsidR="00024984">
                <w:rPr>
                  <w:rStyle w:val="Hyperlink"/>
                  <w:b/>
                  <w:bCs/>
                  <w:sz w:val="21"/>
                  <w:szCs w:val="21"/>
                </w:rPr>
                <w:t>VA DTLL (Dec. 2)</w:t>
              </w:r>
            </w:hyperlink>
          </w:p>
          <w:p w14:paraId="5898D55B"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7A3DDBB9" w14:textId="77777777" w:rsidR="00024984" w:rsidRDefault="00024984" w:rsidP="00024984">
            <w:pPr>
              <w:pStyle w:val="ListParagraph"/>
              <w:numPr>
                <w:ilvl w:val="0"/>
                <w:numId w:val="22"/>
              </w:numPr>
              <w:ind w:left="254" w:hanging="270"/>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 xml:space="preserve">12/24/2020: </w:t>
            </w:r>
            <w:hyperlink r:id="rId20" w:history="1">
              <w:r>
                <w:rPr>
                  <w:rStyle w:val="Hyperlink"/>
                  <w:b/>
                  <w:bCs/>
                  <w:sz w:val="21"/>
                  <w:szCs w:val="21"/>
                </w:rPr>
                <w:t>3 Native Veteran Health laws were passed within H.R. 7105</w:t>
              </w:r>
            </w:hyperlink>
            <w:r>
              <w:rPr>
                <w:rStyle w:val="Hyperlink"/>
                <w:b/>
                <w:bCs/>
                <w:color w:val="000000" w:themeColor="text1"/>
                <w:sz w:val="21"/>
                <w:szCs w:val="21"/>
              </w:rPr>
              <w:t>:</w:t>
            </w:r>
          </w:p>
          <w:p w14:paraId="322335FA" w14:textId="77777777" w:rsidR="00024984" w:rsidRDefault="00024984" w:rsidP="00024984">
            <w:pPr>
              <w:pStyle w:val="ListParagraph"/>
              <w:numPr>
                <w:ilvl w:val="0"/>
                <w:numId w:val="23"/>
              </w:numPr>
              <w:ind w:left="614" w:hanging="270"/>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Native American Veterans PACT Act eliminates copayments for AI/AN Veterans accessing VA healthcare;</w:t>
            </w:r>
          </w:p>
          <w:p w14:paraId="0BDA95B5" w14:textId="77777777" w:rsidR="00024984" w:rsidRDefault="00024984" w:rsidP="00024984">
            <w:pPr>
              <w:pStyle w:val="ListParagraph"/>
              <w:numPr>
                <w:ilvl w:val="0"/>
                <w:numId w:val="23"/>
              </w:numPr>
              <w:ind w:left="614" w:hanging="270"/>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PRC for Native Veterans Act clarifies reimbursement from VA and DOD for healthcare services provided to AI/AN Veterans through an authorized referral; and</w:t>
            </w:r>
          </w:p>
          <w:p w14:paraId="5BAE0B15" w14:textId="77777777" w:rsidR="00024984" w:rsidRDefault="00024984" w:rsidP="00024984">
            <w:pPr>
              <w:pStyle w:val="ListParagraph"/>
              <w:numPr>
                <w:ilvl w:val="0"/>
                <w:numId w:val="23"/>
              </w:numPr>
              <w:ind w:left="614" w:hanging="270"/>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Veterans Affairs Tribal Advisory Committee Act of 2019.</w:t>
            </w:r>
          </w:p>
          <w:p w14:paraId="3EEC05A9" w14:textId="77777777" w:rsidR="00402D08" w:rsidRDefault="00402D08" w:rsidP="005E13D5">
            <w:pPr>
              <w:pStyle w:val="ListParagraph"/>
              <w:numPr>
                <w:ilvl w:val="0"/>
                <w:numId w:val="23"/>
              </w:numPr>
              <w:ind w:left="246" w:hanging="246"/>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sidRPr="005E13D5">
              <w:rPr>
                <w:rStyle w:val="Hyperlink"/>
                <w:bCs/>
                <w:color w:val="000000" w:themeColor="text1"/>
                <w:sz w:val="21"/>
                <w:szCs w:val="21"/>
                <w:u w:val="none"/>
              </w:rPr>
              <w:t xml:space="preserve">1/13/2022, the U.S. Department of Veterans Affairs (VA) held its second listening session on its efforts to update the VA's Indian Health Service/Tribal Health Program (IHS/THP) Reimbursement Agreement Program in accordance with the Proper and Reimbursed Care for Native Veterans Act (Pub. L. No. 116-311). </w:t>
            </w:r>
            <w:r w:rsidR="005E13D5" w:rsidRPr="005E13D5">
              <w:rPr>
                <w:rStyle w:val="Hyperlink"/>
                <w:bCs/>
                <w:color w:val="000000" w:themeColor="text1"/>
                <w:sz w:val="21"/>
                <w:szCs w:val="21"/>
                <w:u w:val="none"/>
              </w:rPr>
              <w:t xml:space="preserve"> </w:t>
            </w:r>
            <w:r w:rsidRPr="005E13D5">
              <w:rPr>
                <w:rStyle w:val="Hyperlink"/>
                <w:bCs/>
                <w:color w:val="000000" w:themeColor="text1"/>
                <w:sz w:val="21"/>
                <w:szCs w:val="21"/>
                <w:u w:val="none"/>
              </w:rPr>
              <w:t>Written comments may be submitted to tribalgovernmentconsultation@va.gov before February 13, 2022.</w:t>
            </w:r>
          </w:p>
          <w:p w14:paraId="7FA206D9" w14:textId="77777777" w:rsidR="005E13D5" w:rsidRPr="005E13D5" w:rsidRDefault="005E13D5" w:rsidP="005E13D5">
            <w:pPr>
              <w:pStyle w:val="ListParagraph"/>
              <w:numPr>
                <w:ilvl w:val="0"/>
                <w:numId w:val="23"/>
              </w:numPr>
              <w:ind w:left="246" w:hanging="246"/>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VA is drafting a new agreement with tribes to implement PRC reimbursement</w:t>
            </w:r>
            <w:r w:rsidR="00BD7510">
              <w:rPr>
                <w:rStyle w:val="Hyperlink"/>
                <w:bCs/>
                <w:color w:val="000000" w:themeColor="text1"/>
                <w:sz w:val="21"/>
                <w:szCs w:val="21"/>
                <w:u w:val="none"/>
              </w:rPr>
              <w:t>.  Tribes need to be part of negotiating that agreement.</w:t>
            </w:r>
          </w:p>
          <w:p w14:paraId="05EDA69A" w14:textId="77777777" w:rsidR="00024984" w:rsidRDefault="00024984" w:rsidP="00024984">
            <w:pPr>
              <w:pStyle w:val="ListParagraph"/>
              <w:ind w:left="614"/>
              <w:cnfStyle w:val="000000100000" w:firstRow="0" w:lastRow="0" w:firstColumn="0" w:lastColumn="0" w:oddVBand="0" w:evenVBand="0" w:oddHBand="1" w:evenHBand="0" w:firstRowFirstColumn="0" w:firstRowLastColumn="0" w:lastRowFirstColumn="0" w:lastRowLastColumn="0"/>
              <w:rPr>
                <w:rStyle w:val="Hyperlink"/>
                <w:bCs/>
                <w:color w:val="000000" w:themeColor="text1"/>
                <w:sz w:val="21"/>
                <w:szCs w:val="21"/>
                <w:u w:val="none"/>
              </w:rPr>
            </w:pPr>
          </w:p>
          <w:p w14:paraId="091D077D" w14:textId="77777777" w:rsidR="00A825CA" w:rsidRPr="00A825CA" w:rsidRDefault="00A825CA" w:rsidP="00024984">
            <w:pPr>
              <w:cnfStyle w:val="000000100000" w:firstRow="0" w:lastRow="0" w:firstColumn="0" w:lastColumn="0" w:oddVBand="0" w:evenVBand="0" w:oddHBand="1" w:evenHBand="0" w:firstRowFirstColumn="0" w:firstRowLastColumn="0" w:lastRowFirstColumn="0" w:lastRowLastColumn="0"/>
              <w:rPr>
                <w:b/>
                <w:bCs/>
                <w:i/>
                <w:iCs/>
                <w:color w:val="000000" w:themeColor="text1"/>
                <w:sz w:val="21"/>
                <w:szCs w:val="21"/>
              </w:rPr>
            </w:pPr>
            <w:r w:rsidRPr="00A825CA">
              <w:rPr>
                <w:b/>
                <w:bCs/>
                <w:i/>
                <w:iCs/>
                <w:color w:val="000000" w:themeColor="text1"/>
                <w:sz w:val="21"/>
                <w:szCs w:val="21"/>
              </w:rPr>
              <w:t>TSGAC Actions</w:t>
            </w:r>
            <w:r>
              <w:rPr>
                <w:b/>
                <w:bCs/>
                <w:i/>
                <w:iCs/>
                <w:color w:val="000000" w:themeColor="text1"/>
                <w:sz w:val="21"/>
                <w:szCs w:val="21"/>
              </w:rPr>
              <w:t>:</w:t>
            </w:r>
          </w:p>
          <w:p w14:paraId="39B4F9F6" w14:textId="77777777" w:rsidR="00A825CA" w:rsidRDefault="00A825CA" w:rsidP="00A825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Pr>
                <w:color w:val="000000" w:themeColor="text1"/>
                <w:sz w:val="21"/>
                <w:szCs w:val="21"/>
              </w:rPr>
              <w:t xml:space="preserve">5/28/21: TSGAC submitted comments on VA Tribal Consultation </w:t>
            </w:r>
            <w:r>
              <w:rPr>
                <w:color w:val="000000" w:themeColor="text1"/>
                <w:sz w:val="21"/>
                <w:szCs w:val="21"/>
              </w:rPr>
              <w:lastRenderedPageBreak/>
              <w:t>Identification- Documentation for AI/AN Veteran Exemption from Collection of Healthcare Copayments.</w:t>
            </w:r>
          </w:p>
          <w:p w14:paraId="6EE62B01" w14:textId="77777777" w:rsidR="00024984" w:rsidRPr="00A825CA" w:rsidRDefault="00A825CA" w:rsidP="00A825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A825CA">
              <w:rPr>
                <w:color w:val="000000" w:themeColor="text1"/>
                <w:sz w:val="21"/>
                <w:szCs w:val="21"/>
              </w:rPr>
              <w:t>3/2/21</w:t>
            </w:r>
            <w:r>
              <w:rPr>
                <w:color w:val="000000" w:themeColor="text1"/>
                <w:sz w:val="21"/>
                <w:szCs w:val="21"/>
              </w:rPr>
              <w:t>:</w:t>
            </w:r>
            <w:r w:rsidRPr="00A825CA">
              <w:rPr>
                <w:color w:val="000000" w:themeColor="text1"/>
                <w:sz w:val="21"/>
                <w:szCs w:val="21"/>
              </w:rPr>
              <w:t xml:space="preserve"> TSGAC</w:t>
            </w:r>
            <w:r w:rsidRPr="00A825CA">
              <w:rPr>
                <w:bCs/>
                <w:color w:val="000000" w:themeColor="text1"/>
                <w:sz w:val="21"/>
                <w:szCs w:val="21"/>
              </w:rPr>
              <w:t xml:space="preserve"> submitted</w:t>
            </w:r>
            <w:r w:rsidR="00024984" w:rsidRPr="00A825CA">
              <w:rPr>
                <w:bCs/>
                <w:color w:val="000000" w:themeColor="text1"/>
                <w:sz w:val="21"/>
                <w:szCs w:val="21"/>
              </w:rPr>
              <w:t xml:space="preserve"> comments on the IHS and VA Draft Revised MOU</w:t>
            </w:r>
            <w:r w:rsidR="00024984" w:rsidRPr="00A825CA">
              <w:rPr>
                <w:b/>
                <w:bCs/>
                <w:color w:val="000000" w:themeColor="text1"/>
                <w:sz w:val="21"/>
                <w:szCs w:val="21"/>
              </w:rPr>
              <w:t xml:space="preserve"> </w:t>
            </w:r>
          </w:p>
          <w:p w14:paraId="0F0CC100" w14:textId="77777777" w:rsidR="00A825CA" w:rsidRPr="00A825CA" w:rsidRDefault="00A825CA" w:rsidP="00A825CA">
            <w:pPr>
              <w:pStyle w:val="ListParagraph"/>
              <w:ind w:left="763"/>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p>
        </w:tc>
        <w:tc>
          <w:tcPr>
            <w:tcW w:w="3060" w:type="dxa"/>
          </w:tcPr>
          <w:p w14:paraId="7754C562" w14:textId="77777777" w:rsidR="00024984" w:rsidRDefault="00024984" w:rsidP="00024984">
            <w:pPr>
              <w:pStyle w:val="ListParagraph"/>
              <w:numPr>
                <w:ilvl w:val="0"/>
                <w:numId w:val="6"/>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 xml:space="preserve">VA reports that 116 Tribal Health Programs have individual reimbursement agreements with the VA/VHA. </w:t>
            </w:r>
            <w:r>
              <w:rPr>
                <w:color w:val="000000" w:themeColor="text1"/>
                <w:sz w:val="21"/>
                <w:szCs w:val="21"/>
              </w:rPr>
              <w:t xml:space="preserve"> The agreements vary immensely.</w:t>
            </w:r>
          </w:p>
          <w:p w14:paraId="0A253D23" w14:textId="77777777" w:rsidR="00024984" w:rsidRDefault="00024984" w:rsidP="00024984">
            <w:pPr>
              <w:cnfStyle w:val="000000100000" w:firstRow="0" w:lastRow="0" w:firstColumn="0" w:lastColumn="0" w:oddVBand="0" w:evenVBand="0" w:oddHBand="1" w:evenHBand="0" w:firstRowFirstColumn="0" w:firstRowLastColumn="0" w:lastRowFirstColumn="0" w:lastRowLastColumn="0"/>
              <w:rPr>
                <w:sz w:val="21"/>
                <w:szCs w:val="21"/>
              </w:rPr>
            </w:pPr>
          </w:p>
        </w:tc>
      </w:tr>
    </w:tbl>
    <w:p w14:paraId="1229FFB8" w14:textId="77777777" w:rsidR="00C24E2D" w:rsidRDefault="00C24E2D">
      <w:pPr>
        <w:jc w:val="center"/>
        <w:rPr>
          <w:b/>
          <w:bCs/>
          <w:u w:val="single"/>
        </w:rPr>
      </w:pPr>
    </w:p>
    <w:sectPr w:rsidR="00C24E2D" w:rsidSect="00990B04">
      <w:headerReference w:type="default" r:id="rId21"/>
      <w:footerReference w:type="even" r:id="rId22"/>
      <w:headerReference w:type="first" r:id="rId23"/>
      <w:pgSz w:w="15840" w:h="12240" w:orient="landscape"/>
      <w:pgMar w:top="1008" w:right="1008" w:bottom="720"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48D1" w14:textId="77777777" w:rsidR="008D048B" w:rsidRDefault="008D048B">
      <w:r>
        <w:separator/>
      </w:r>
    </w:p>
  </w:endnote>
  <w:endnote w:type="continuationSeparator" w:id="0">
    <w:p w14:paraId="18841AD6" w14:textId="77777777" w:rsidR="008D048B" w:rsidRDefault="008D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381216"/>
      <w:docPartObj>
        <w:docPartGallery w:val="Page Numbers (Bottom of Page)"/>
        <w:docPartUnique/>
      </w:docPartObj>
    </w:sdtPr>
    <w:sdtEndPr>
      <w:rPr>
        <w:rStyle w:val="PageNumber"/>
      </w:rPr>
    </w:sdtEndPr>
    <w:sdtContent>
      <w:p w14:paraId="7B22F4B3" w14:textId="77777777" w:rsidR="00C24E2D" w:rsidRDefault="003E4F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28253" w14:textId="77777777" w:rsidR="00C24E2D" w:rsidRDefault="00C2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BC98" w14:textId="77777777" w:rsidR="008D048B" w:rsidRDefault="008D048B">
      <w:r>
        <w:separator/>
      </w:r>
    </w:p>
  </w:footnote>
  <w:footnote w:type="continuationSeparator" w:id="0">
    <w:p w14:paraId="5FB58107" w14:textId="77777777" w:rsidR="008D048B" w:rsidRDefault="008D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578518275"/>
      <w:docPartObj>
        <w:docPartGallery w:val="Page Numbers (Bottom of Page)"/>
        <w:docPartUnique/>
      </w:docPartObj>
    </w:sdtPr>
    <w:sdtEndPr>
      <w:rPr>
        <w:rStyle w:val="PageNumber"/>
      </w:rPr>
    </w:sdtEndPr>
    <w:sdtContent>
      <w:p w14:paraId="5A3FBF7F" w14:textId="77777777" w:rsidR="00C24E2D" w:rsidRDefault="003E4F6A" w:rsidP="008E7D1F">
        <w:pPr>
          <w:pStyle w:val="Footer"/>
          <w:framePr w:wrap="none" w:vAnchor="text" w:hAnchor="page" w:x="4249" w:y="37"/>
          <w:rPr>
            <w:rStyle w:val="PageNumber"/>
            <w:b/>
            <w:bCs/>
          </w:rPr>
        </w:pPr>
        <w:r>
          <w:rPr>
            <w:rStyle w:val="PageNumber"/>
            <w:b/>
            <w:bCs/>
          </w:rPr>
          <w:tab/>
        </w:r>
        <w:r w:rsidR="00540BAA">
          <w:rPr>
            <w:rStyle w:val="PageNumber"/>
            <w:b/>
            <w:bCs/>
          </w:rPr>
          <w:t>(</w:t>
        </w:r>
        <w:r w:rsidR="00250AA9">
          <w:rPr>
            <w:rStyle w:val="PageNumber"/>
            <w:b/>
            <w:bCs/>
          </w:rPr>
          <w:t>2</w:t>
        </w:r>
        <w:r w:rsidR="00540BAA">
          <w:rPr>
            <w:rStyle w:val="PageNumber"/>
            <w:b/>
            <w:bCs/>
          </w:rPr>
          <w:t>/</w:t>
        </w:r>
        <w:r w:rsidR="00250AA9">
          <w:rPr>
            <w:rStyle w:val="PageNumber"/>
            <w:b/>
            <w:bCs/>
          </w:rPr>
          <w:t>2</w:t>
        </w:r>
        <w:r w:rsidR="00540BAA">
          <w:rPr>
            <w:rStyle w:val="PageNumber"/>
            <w:b/>
            <w:bCs/>
          </w:rPr>
          <w:t>/</w:t>
        </w:r>
        <w:r>
          <w:rPr>
            <w:rStyle w:val="PageNumber"/>
            <w:b/>
            <w:bCs/>
          </w:rPr>
          <w:t>202</w:t>
        </w:r>
        <w:r w:rsidR="00AA4045">
          <w:rPr>
            <w:rStyle w:val="PageNumber"/>
            <w:b/>
            <w:bCs/>
          </w:rPr>
          <w:t>2</w:t>
        </w:r>
        <w:r>
          <w:rPr>
            <w:rStyle w:val="PageNumber"/>
            <w:b/>
            <w:bCs/>
          </w:rPr>
          <w:t>)</w:t>
        </w:r>
        <w:r>
          <w:rPr>
            <w:rStyle w:val="PageNumber"/>
            <w:b/>
            <w:bCs/>
          </w:rPr>
          <w:tab/>
          <w:t xml:space="preserve">Page </w:t>
        </w:r>
        <w:r>
          <w:rPr>
            <w:rStyle w:val="PageNumber"/>
            <w:b/>
            <w:bCs/>
          </w:rPr>
          <w:fldChar w:fldCharType="begin"/>
        </w:r>
        <w:r>
          <w:rPr>
            <w:rStyle w:val="PageNumber"/>
            <w:b/>
            <w:bCs/>
          </w:rPr>
          <w:instrText xml:space="preserve"> PAGE   \* MERGEFORMAT </w:instrText>
        </w:r>
        <w:r>
          <w:rPr>
            <w:rStyle w:val="PageNumber"/>
            <w:b/>
            <w:bCs/>
          </w:rPr>
          <w:fldChar w:fldCharType="separate"/>
        </w:r>
        <w:r>
          <w:rPr>
            <w:rStyle w:val="PageNumber"/>
            <w:b/>
            <w:bCs/>
            <w:noProof/>
          </w:rPr>
          <w:t>10</w:t>
        </w:r>
        <w:r>
          <w:rPr>
            <w:rStyle w:val="PageNumber"/>
            <w:b/>
            <w:bCs/>
            <w:noProof/>
          </w:rPr>
          <w:fldChar w:fldCharType="end"/>
        </w:r>
        <w:r w:rsidR="008E7D1F">
          <w:rPr>
            <w:rStyle w:val="PageNumber"/>
            <w:b/>
            <w:bCs/>
            <w:noProof/>
          </w:rPr>
          <w:t xml:space="preserve"> of 9</w:t>
        </w:r>
      </w:p>
    </w:sdtContent>
  </w:sdt>
  <w:p w14:paraId="5AA24AF8" w14:textId="77777777" w:rsidR="00C24E2D" w:rsidRDefault="003E4F6A">
    <w:pPr>
      <w:rPr>
        <w:b/>
        <w:bCs/>
        <w:u w:val="single"/>
      </w:rPr>
    </w:pPr>
    <w:r>
      <w:rPr>
        <w:b/>
        <w:bCs/>
        <w:u w:val="single"/>
      </w:rPr>
      <w:t>TSGAC ACA/IHCIA Priority Issues</w:t>
    </w:r>
    <w:r w:rsidR="008E7D1F">
      <w:rPr>
        <w:b/>
        <w:bCs/>
        <w:u w:val="single"/>
      </w:rPr>
      <w:t xml:space="preserve"> </w:t>
    </w:r>
  </w:p>
  <w:p w14:paraId="1F22F226" w14:textId="77777777" w:rsidR="00C24E2D" w:rsidRDefault="00C2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0E3" w14:textId="77777777" w:rsidR="00C24E2D" w:rsidRDefault="003E4F6A">
    <w:pPr>
      <w:pStyle w:val="Header"/>
      <w:jc w:val="center"/>
    </w:pPr>
    <w:r>
      <w:rPr>
        <w:noProof/>
      </w:rPr>
      <w:drawing>
        <wp:inline distT="0" distB="0" distL="0" distR="0" wp14:anchorId="3C6A03EE" wp14:editId="4A25972E">
          <wp:extent cx="3629464" cy="98608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0185" cy="988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0C8"/>
    <w:multiLevelType w:val="hybridMultilevel"/>
    <w:tmpl w:val="42F89C2C"/>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53" w:hanging="360"/>
      </w:pPr>
      <w:rPr>
        <w:rFonts w:ascii="Courier New" w:hAnsi="Courier New" w:cs="Courier New" w:hint="default"/>
      </w:rPr>
    </w:lvl>
    <w:lvl w:ilvl="2" w:tplc="04090005" w:tentative="1">
      <w:start w:val="1"/>
      <w:numFmt w:val="bullet"/>
      <w:lvlText w:val=""/>
      <w:lvlJc w:val="left"/>
      <w:pPr>
        <w:ind w:left="773" w:hanging="360"/>
      </w:pPr>
      <w:rPr>
        <w:rFonts w:ascii="Wingdings" w:hAnsi="Wingdings" w:hint="default"/>
      </w:rPr>
    </w:lvl>
    <w:lvl w:ilvl="3" w:tplc="04090001" w:tentative="1">
      <w:start w:val="1"/>
      <w:numFmt w:val="bullet"/>
      <w:lvlText w:val=""/>
      <w:lvlJc w:val="left"/>
      <w:pPr>
        <w:ind w:left="1493" w:hanging="360"/>
      </w:pPr>
      <w:rPr>
        <w:rFonts w:ascii="Symbol" w:hAnsi="Symbol" w:hint="default"/>
      </w:rPr>
    </w:lvl>
    <w:lvl w:ilvl="4" w:tplc="04090003" w:tentative="1">
      <w:start w:val="1"/>
      <w:numFmt w:val="bullet"/>
      <w:lvlText w:val="o"/>
      <w:lvlJc w:val="left"/>
      <w:pPr>
        <w:ind w:left="2213" w:hanging="360"/>
      </w:pPr>
      <w:rPr>
        <w:rFonts w:ascii="Courier New" w:hAnsi="Courier New" w:cs="Courier New" w:hint="default"/>
      </w:rPr>
    </w:lvl>
    <w:lvl w:ilvl="5" w:tplc="04090005" w:tentative="1">
      <w:start w:val="1"/>
      <w:numFmt w:val="bullet"/>
      <w:lvlText w:val=""/>
      <w:lvlJc w:val="left"/>
      <w:pPr>
        <w:ind w:left="2933" w:hanging="360"/>
      </w:pPr>
      <w:rPr>
        <w:rFonts w:ascii="Wingdings" w:hAnsi="Wingdings" w:hint="default"/>
      </w:rPr>
    </w:lvl>
    <w:lvl w:ilvl="6" w:tplc="04090001" w:tentative="1">
      <w:start w:val="1"/>
      <w:numFmt w:val="bullet"/>
      <w:lvlText w:val=""/>
      <w:lvlJc w:val="left"/>
      <w:pPr>
        <w:ind w:left="3653" w:hanging="360"/>
      </w:pPr>
      <w:rPr>
        <w:rFonts w:ascii="Symbol" w:hAnsi="Symbol" w:hint="default"/>
      </w:rPr>
    </w:lvl>
    <w:lvl w:ilvl="7" w:tplc="04090003" w:tentative="1">
      <w:start w:val="1"/>
      <w:numFmt w:val="bullet"/>
      <w:lvlText w:val="o"/>
      <w:lvlJc w:val="left"/>
      <w:pPr>
        <w:ind w:left="4373" w:hanging="360"/>
      </w:pPr>
      <w:rPr>
        <w:rFonts w:ascii="Courier New" w:hAnsi="Courier New" w:cs="Courier New" w:hint="default"/>
      </w:rPr>
    </w:lvl>
    <w:lvl w:ilvl="8" w:tplc="04090005" w:tentative="1">
      <w:start w:val="1"/>
      <w:numFmt w:val="bullet"/>
      <w:lvlText w:val=""/>
      <w:lvlJc w:val="left"/>
      <w:pPr>
        <w:ind w:left="5093" w:hanging="360"/>
      </w:pPr>
      <w:rPr>
        <w:rFonts w:ascii="Wingdings" w:hAnsi="Wingdings" w:hint="default"/>
      </w:rPr>
    </w:lvl>
  </w:abstractNum>
  <w:abstractNum w:abstractNumId="1" w15:restartNumberingAfterBreak="0">
    <w:nsid w:val="060D4F17"/>
    <w:multiLevelType w:val="hybridMultilevel"/>
    <w:tmpl w:val="F2D6A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17E6"/>
    <w:multiLevelType w:val="hybridMultilevel"/>
    <w:tmpl w:val="5380B744"/>
    <w:lvl w:ilvl="0" w:tplc="5EF080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7A57"/>
    <w:multiLevelType w:val="hybridMultilevel"/>
    <w:tmpl w:val="6A1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6DC3"/>
    <w:multiLevelType w:val="hybridMultilevel"/>
    <w:tmpl w:val="4BA2EE6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39FF"/>
    <w:multiLevelType w:val="hybridMultilevel"/>
    <w:tmpl w:val="B35C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6233"/>
    <w:multiLevelType w:val="hybridMultilevel"/>
    <w:tmpl w:val="CC56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29DA"/>
    <w:multiLevelType w:val="hybridMultilevel"/>
    <w:tmpl w:val="8DA2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7A77"/>
    <w:multiLevelType w:val="hybridMultilevel"/>
    <w:tmpl w:val="270C7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2017"/>
    <w:multiLevelType w:val="hybridMultilevel"/>
    <w:tmpl w:val="88768082"/>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15:restartNumberingAfterBreak="0">
    <w:nsid w:val="1B316694"/>
    <w:multiLevelType w:val="hybridMultilevel"/>
    <w:tmpl w:val="FF2A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15A8A"/>
    <w:multiLevelType w:val="hybridMultilevel"/>
    <w:tmpl w:val="B0426DD0"/>
    <w:lvl w:ilvl="0" w:tplc="2396B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F4CCF"/>
    <w:multiLevelType w:val="hybridMultilevel"/>
    <w:tmpl w:val="D3B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A129F"/>
    <w:multiLevelType w:val="hybridMultilevel"/>
    <w:tmpl w:val="1F1AA1D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20FD3FB0"/>
    <w:multiLevelType w:val="hybridMultilevel"/>
    <w:tmpl w:val="0E2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820F9"/>
    <w:multiLevelType w:val="hybridMultilevel"/>
    <w:tmpl w:val="C2C69EA6"/>
    <w:lvl w:ilvl="0" w:tplc="F21A84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328B3"/>
    <w:multiLevelType w:val="hybridMultilevel"/>
    <w:tmpl w:val="AA1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65273"/>
    <w:multiLevelType w:val="hybridMultilevel"/>
    <w:tmpl w:val="BA1C411C"/>
    <w:lvl w:ilvl="0" w:tplc="4774B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4579"/>
    <w:multiLevelType w:val="hybridMultilevel"/>
    <w:tmpl w:val="639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109E"/>
    <w:multiLevelType w:val="hybridMultilevel"/>
    <w:tmpl w:val="59EC2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F7A16"/>
    <w:multiLevelType w:val="hybridMultilevel"/>
    <w:tmpl w:val="885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146E4"/>
    <w:multiLevelType w:val="hybridMultilevel"/>
    <w:tmpl w:val="D0C4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A3CA8"/>
    <w:multiLevelType w:val="hybridMultilevel"/>
    <w:tmpl w:val="7F1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B2F19"/>
    <w:multiLevelType w:val="hybridMultilevel"/>
    <w:tmpl w:val="F086C442"/>
    <w:lvl w:ilvl="0" w:tplc="04090001">
      <w:start w:val="1"/>
      <w:numFmt w:val="bullet"/>
      <w:lvlText w:val=""/>
      <w:lvlJc w:val="left"/>
      <w:pPr>
        <w:ind w:left="1074" w:hanging="360"/>
      </w:pPr>
      <w:rPr>
        <w:rFonts w:ascii="Symbol" w:hAnsi="Symbol" w:hint="default"/>
        <w:color w:val="000000" w:themeColor="text1"/>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4" w15:restartNumberingAfterBreak="0">
    <w:nsid w:val="420157A6"/>
    <w:multiLevelType w:val="hybridMultilevel"/>
    <w:tmpl w:val="216EC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464C6"/>
    <w:multiLevelType w:val="hybridMultilevel"/>
    <w:tmpl w:val="A82C09AC"/>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45952F91"/>
    <w:multiLevelType w:val="hybridMultilevel"/>
    <w:tmpl w:val="290278A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4ABA062D"/>
    <w:multiLevelType w:val="hybridMultilevel"/>
    <w:tmpl w:val="250CC7C6"/>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8" w15:restartNumberingAfterBreak="0">
    <w:nsid w:val="4E7E7D07"/>
    <w:multiLevelType w:val="hybridMultilevel"/>
    <w:tmpl w:val="8A0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E0558"/>
    <w:multiLevelType w:val="hybridMultilevel"/>
    <w:tmpl w:val="62F4A51E"/>
    <w:lvl w:ilvl="0" w:tplc="FFF6240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A4EEB"/>
    <w:multiLevelType w:val="hybridMultilevel"/>
    <w:tmpl w:val="AFDAEA2A"/>
    <w:lvl w:ilvl="0" w:tplc="03F8B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27167"/>
    <w:multiLevelType w:val="hybridMultilevel"/>
    <w:tmpl w:val="A80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112B4"/>
    <w:multiLevelType w:val="hybridMultilevel"/>
    <w:tmpl w:val="802A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A0DA9"/>
    <w:multiLevelType w:val="hybridMultilevel"/>
    <w:tmpl w:val="431299F4"/>
    <w:lvl w:ilvl="0" w:tplc="9474A598">
      <w:start w:val="1"/>
      <w:numFmt w:val="decimal"/>
      <w:lvlText w:val="%1."/>
      <w:lvlJc w:val="left"/>
      <w:pPr>
        <w:ind w:left="360" w:hanging="360"/>
      </w:pPr>
      <w:rPr>
        <w:rFonts w:hint="default"/>
        <w:b/>
        <w:bCs/>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850221"/>
    <w:multiLevelType w:val="hybridMultilevel"/>
    <w:tmpl w:val="C0FA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02779"/>
    <w:multiLevelType w:val="hybridMultilevel"/>
    <w:tmpl w:val="8A4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031E5"/>
    <w:multiLevelType w:val="hybridMultilevel"/>
    <w:tmpl w:val="05EEB61A"/>
    <w:lvl w:ilvl="0" w:tplc="7EF4BC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AD2582"/>
    <w:multiLevelType w:val="hybridMultilevel"/>
    <w:tmpl w:val="F4CE2504"/>
    <w:lvl w:ilvl="0" w:tplc="86E46D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053DD"/>
    <w:multiLevelType w:val="hybridMultilevel"/>
    <w:tmpl w:val="26BEBAC8"/>
    <w:lvl w:ilvl="0" w:tplc="1638BF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5390D"/>
    <w:multiLevelType w:val="hybridMultilevel"/>
    <w:tmpl w:val="9E84B696"/>
    <w:lvl w:ilvl="0" w:tplc="09AA24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B1278"/>
    <w:multiLevelType w:val="hybridMultilevel"/>
    <w:tmpl w:val="66D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D5B6D"/>
    <w:multiLevelType w:val="hybridMultilevel"/>
    <w:tmpl w:val="9B52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40F84"/>
    <w:multiLevelType w:val="hybridMultilevel"/>
    <w:tmpl w:val="77B2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31C66"/>
    <w:multiLevelType w:val="hybridMultilevel"/>
    <w:tmpl w:val="385E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55EE6"/>
    <w:multiLevelType w:val="hybridMultilevel"/>
    <w:tmpl w:val="E5268F0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5" w15:restartNumberingAfterBreak="0">
    <w:nsid w:val="7A1139CE"/>
    <w:multiLevelType w:val="hybridMultilevel"/>
    <w:tmpl w:val="4EC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0776D"/>
    <w:multiLevelType w:val="hybridMultilevel"/>
    <w:tmpl w:val="E310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93935"/>
    <w:multiLevelType w:val="hybridMultilevel"/>
    <w:tmpl w:val="5AAC0528"/>
    <w:lvl w:ilvl="0" w:tplc="29063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41392"/>
    <w:multiLevelType w:val="hybridMultilevel"/>
    <w:tmpl w:val="120C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35"/>
  </w:num>
  <w:num w:numId="4">
    <w:abstractNumId w:val="18"/>
  </w:num>
  <w:num w:numId="5">
    <w:abstractNumId w:val="13"/>
  </w:num>
  <w:num w:numId="6">
    <w:abstractNumId w:val="10"/>
  </w:num>
  <w:num w:numId="7">
    <w:abstractNumId w:val="20"/>
  </w:num>
  <w:num w:numId="8">
    <w:abstractNumId w:val="16"/>
  </w:num>
  <w:num w:numId="9">
    <w:abstractNumId w:val="8"/>
  </w:num>
  <w:num w:numId="10">
    <w:abstractNumId w:val="31"/>
  </w:num>
  <w:num w:numId="11">
    <w:abstractNumId w:val="19"/>
  </w:num>
  <w:num w:numId="12">
    <w:abstractNumId w:val="14"/>
  </w:num>
  <w:num w:numId="13">
    <w:abstractNumId w:val="36"/>
  </w:num>
  <w:num w:numId="14">
    <w:abstractNumId w:val="33"/>
  </w:num>
  <w:num w:numId="15">
    <w:abstractNumId w:val="30"/>
  </w:num>
  <w:num w:numId="16">
    <w:abstractNumId w:val="38"/>
  </w:num>
  <w:num w:numId="17">
    <w:abstractNumId w:val="24"/>
  </w:num>
  <w:num w:numId="18">
    <w:abstractNumId w:val="45"/>
  </w:num>
  <w:num w:numId="19">
    <w:abstractNumId w:val="28"/>
  </w:num>
  <w:num w:numId="20">
    <w:abstractNumId w:val="2"/>
  </w:num>
  <w:num w:numId="21">
    <w:abstractNumId w:val="17"/>
  </w:num>
  <w:num w:numId="22">
    <w:abstractNumId w:val="37"/>
  </w:num>
  <w:num w:numId="23">
    <w:abstractNumId w:val="23"/>
  </w:num>
  <w:num w:numId="24">
    <w:abstractNumId w:val="47"/>
  </w:num>
  <w:num w:numId="25">
    <w:abstractNumId w:val="39"/>
  </w:num>
  <w:num w:numId="26">
    <w:abstractNumId w:val="11"/>
  </w:num>
  <w:num w:numId="27">
    <w:abstractNumId w:val="26"/>
  </w:num>
  <w:num w:numId="28">
    <w:abstractNumId w:val="29"/>
  </w:num>
  <w:num w:numId="29">
    <w:abstractNumId w:val="32"/>
  </w:num>
  <w:num w:numId="30">
    <w:abstractNumId w:val="9"/>
  </w:num>
  <w:num w:numId="31">
    <w:abstractNumId w:val="44"/>
  </w:num>
  <w:num w:numId="32">
    <w:abstractNumId w:val="46"/>
  </w:num>
  <w:num w:numId="33">
    <w:abstractNumId w:val="43"/>
  </w:num>
  <w:num w:numId="34">
    <w:abstractNumId w:val="15"/>
  </w:num>
  <w:num w:numId="35">
    <w:abstractNumId w:val="27"/>
  </w:num>
  <w:num w:numId="36">
    <w:abstractNumId w:val="42"/>
  </w:num>
  <w:num w:numId="37">
    <w:abstractNumId w:val="7"/>
  </w:num>
  <w:num w:numId="38">
    <w:abstractNumId w:val="1"/>
  </w:num>
  <w:num w:numId="39">
    <w:abstractNumId w:val="21"/>
  </w:num>
  <w:num w:numId="40">
    <w:abstractNumId w:val="5"/>
  </w:num>
  <w:num w:numId="41">
    <w:abstractNumId w:val="25"/>
  </w:num>
  <w:num w:numId="42">
    <w:abstractNumId w:val="22"/>
  </w:num>
  <w:num w:numId="43">
    <w:abstractNumId w:val="12"/>
  </w:num>
  <w:num w:numId="44">
    <w:abstractNumId w:val="3"/>
  </w:num>
  <w:num w:numId="45">
    <w:abstractNumId w:val="34"/>
  </w:num>
  <w:num w:numId="46">
    <w:abstractNumId w:val="48"/>
  </w:num>
  <w:num w:numId="47">
    <w:abstractNumId w:val="6"/>
  </w:num>
  <w:num w:numId="48">
    <w:abstractNumId w:val="41"/>
  </w:num>
  <w:num w:numId="4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2D"/>
    <w:rsid w:val="00005EC3"/>
    <w:rsid w:val="000068E0"/>
    <w:rsid w:val="0000753D"/>
    <w:rsid w:val="00016786"/>
    <w:rsid w:val="00024984"/>
    <w:rsid w:val="00034972"/>
    <w:rsid w:val="00044190"/>
    <w:rsid w:val="0005115B"/>
    <w:rsid w:val="000C0364"/>
    <w:rsid w:val="0010426F"/>
    <w:rsid w:val="00132AE9"/>
    <w:rsid w:val="00133101"/>
    <w:rsid w:val="00141E92"/>
    <w:rsid w:val="00181905"/>
    <w:rsid w:val="001853B6"/>
    <w:rsid w:val="001B7645"/>
    <w:rsid w:val="001D5D40"/>
    <w:rsid w:val="001E21D9"/>
    <w:rsid w:val="001E36A4"/>
    <w:rsid w:val="001F737E"/>
    <w:rsid w:val="0021109E"/>
    <w:rsid w:val="002352F4"/>
    <w:rsid w:val="00237EAD"/>
    <w:rsid w:val="00250AA9"/>
    <w:rsid w:val="0027108A"/>
    <w:rsid w:val="002B4CBB"/>
    <w:rsid w:val="002C5DAF"/>
    <w:rsid w:val="002D46E4"/>
    <w:rsid w:val="002E2C31"/>
    <w:rsid w:val="002E5174"/>
    <w:rsid w:val="003036BF"/>
    <w:rsid w:val="00347D19"/>
    <w:rsid w:val="0037526E"/>
    <w:rsid w:val="003942DD"/>
    <w:rsid w:val="003A0983"/>
    <w:rsid w:val="003A3569"/>
    <w:rsid w:val="003B6D5B"/>
    <w:rsid w:val="003D1CC4"/>
    <w:rsid w:val="003D4A77"/>
    <w:rsid w:val="003E4F6A"/>
    <w:rsid w:val="003E5597"/>
    <w:rsid w:val="003F4016"/>
    <w:rsid w:val="00402D08"/>
    <w:rsid w:val="004165F0"/>
    <w:rsid w:val="004176EE"/>
    <w:rsid w:val="00463E43"/>
    <w:rsid w:val="004A0192"/>
    <w:rsid w:val="00540BAA"/>
    <w:rsid w:val="005469C0"/>
    <w:rsid w:val="0055030C"/>
    <w:rsid w:val="0056391E"/>
    <w:rsid w:val="00575581"/>
    <w:rsid w:val="00583529"/>
    <w:rsid w:val="005B386F"/>
    <w:rsid w:val="005E13D5"/>
    <w:rsid w:val="006070DA"/>
    <w:rsid w:val="00642781"/>
    <w:rsid w:val="0065576F"/>
    <w:rsid w:val="0066293A"/>
    <w:rsid w:val="00691916"/>
    <w:rsid w:val="00696993"/>
    <w:rsid w:val="006C5A64"/>
    <w:rsid w:val="00731B3A"/>
    <w:rsid w:val="007577AE"/>
    <w:rsid w:val="00767B56"/>
    <w:rsid w:val="00787485"/>
    <w:rsid w:val="00791FDA"/>
    <w:rsid w:val="007E138E"/>
    <w:rsid w:val="007E2AF2"/>
    <w:rsid w:val="007E4763"/>
    <w:rsid w:val="007F0BD6"/>
    <w:rsid w:val="00810213"/>
    <w:rsid w:val="008104BF"/>
    <w:rsid w:val="00837D38"/>
    <w:rsid w:val="00856FDF"/>
    <w:rsid w:val="00887133"/>
    <w:rsid w:val="00887424"/>
    <w:rsid w:val="00893E75"/>
    <w:rsid w:val="008D048B"/>
    <w:rsid w:val="008E2BDB"/>
    <w:rsid w:val="008E7D1F"/>
    <w:rsid w:val="00921942"/>
    <w:rsid w:val="00954D25"/>
    <w:rsid w:val="00973711"/>
    <w:rsid w:val="00977931"/>
    <w:rsid w:val="00990B04"/>
    <w:rsid w:val="009B564A"/>
    <w:rsid w:val="009F7381"/>
    <w:rsid w:val="009F7B63"/>
    <w:rsid w:val="00A13012"/>
    <w:rsid w:val="00A32884"/>
    <w:rsid w:val="00A60E3B"/>
    <w:rsid w:val="00A825CA"/>
    <w:rsid w:val="00AA1E5F"/>
    <w:rsid w:val="00AA4045"/>
    <w:rsid w:val="00AA729E"/>
    <w:rsid w:val="00AD4229"/>
    <w:rsid w:val="00AE138F"/>
    <w:rsid w:val="00AF0F2B"/>
    <w:rsid w:val="00B2475B"/>
    <w:rsid w:val="00B46E92"/>
    <w:rsid w:val="00B71194"/>
    <w:rsid w:val="00BB65CF"/>
    <w:rsid w:val="00BD33F9"/>
    <w:rsid w:val="00BD7510"/>
    <w:rsid w:val="00BF5EA8"/>
    <w:rsid w:val="00C02CA3"/>
    <w:rsid w:val="00C24E2D"/>
    <w:rsid w:val="00C51763"/>
    <w:rsid w:val="00C75D7A"/>
    <w:rsid w:val="00C95034"/>
    <w:rsid w:val="00CA3FD8"/>
    <w:rsid w:val="00D375ED"/>
    <w:rsid w:val="00D43AAE"/>
    <w:rsid w:val="00D4645A"/>
    <w:rsid w:val="00D651DF"/>
    <w:rsid w:val="00D927A0"/>
    <w:rsid w:val="00DD0D3F"/>
    <w:rsid w:val="00DF01AD"/>
    <w:rsid w:val="00E2314E"/>
    <w:rsid w:val="00E6223C"/>
    <w:rsid w:val="00E81161"/>
    <w:rsid w:val="00EB0E39"/>
    <w:rsid w:val="00ED14DF"/>
    <w:rsid w:val="00F36CBC"/>
    <w:rsid w:val="00F776A7"/>
    <w:rsid w:val="00F91442"/>
    <w:rsid w:val="00F9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59557"/>
  <w15:chartTrackingRefBased/>
  <w15:docId w15:val="{DC0E2C1F-1996-B847-8812-937ECB7D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5">
    <w:name w:val="List Table 3 Accent 5"/>
    <w:basedOn w:val="TableNormal"/>
    <w:uiPriority w:val="4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1"/>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2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2789">
      <w:bodyDiv w:val="1"/>
      <w:marLeft w:val="0"/>
      <w:marRight w:val="0"/>
      <w:marTop w:val="0"/>
      <w:marBottom w:val="0"/>
      <w:divBdr>
        <w:top w:val="none" w:sz="0" w:space="0" w:color="auto"/>
        <w:left w:val="none" w:sz="0" w:space="0" w:color="auto"/>
        <w:bottom w:val="none" w:sz="0" w:space="0" w:color="auto"/>
        <w:right w:val="none" w:sz="0" w:space="0" w:color="auto"/>
      </w:divBdr>
    </w:div>
    <w:div w:id="1011105686">
      <w:bodyDiv w:val="1"/>
      <w:marLeft w:val="0"/>
      <w:marRight w:val="0"/>
      <w:marTop w:val="0"/>
      <w:marBottom w:val="0"/>
      <w:divBdr>
        <w:top w:val="none" w:sz="0" w:space="0" w:color="auto"/>
        <w:left w:val="none" w:sz="0" w:space="0" w:color="auto"/>
        <w:bottom w:val="none" w:sz="0" w:space="0" w:color="auto"/>
        <w:right w:val="none" w:sz="0" w:space="0" w:color="auto"/>
      </w:divBdr>
      <w:divsChild>
        <w:div w:id="1320578734">
          <w:marLeft w:val="0"/>
          <w:marRight w:val="0"/>
          <w:marTop w:val="0"/>
          <w:marBottom w:val="0"/>
          <w:divBdr>
            <w:top w:val="none" w:sz="0" w:space="0" w:color="auto"/>
            <w:left w:val="none" w:sz="0" w:space="0" w:color="auto"/>
            <w:bottom w:val="none" w:sz="0" w:space="0" w:color="auto"/>
            <w:right w:val="none" w:sz="0" w:space="0" w:color="auto"/>
          </w:divBdr>
          <w:divsChild>
            <w:div w:id="1997874751">
              <w:marLeft w:val="0"/>
              <w:marRight w:val="0"/>
              <w:marTop w:val="0"/>
              <w:marBottom w:val="0"/>
              <w:divBdr>
                <w:top w:val="none" w:sz="0" w:space="0" w:color="auto"/>
                <w:left w:val="none" w:sz="0" w:space="0" w:color="auto"/>
                <w:bottom w:val="none" w:sz="0" w:space="0" w:color="auto"/>
                <w:right w:val="none" w:sz="0" w:space="0" w:color="auto"/>
              </w:divBdr>
              <w:divsChild>
                <w:div w:id="2017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2821">
      <w:bodyDiv w:val="1"/>
      <w:marLeft w:val="0"/>
      <w:marRight w:val="0"/>
      <w:marTop w:val="0"/>
      <w:marBottom w:val="0"/>
      <w:divBdr>
        <w:top w:val="none" w:sz="0" w:space="0" w:color="auto"/>
        <w:left w:val="none" w:sz="0" w:space="0" w:color="auto"/>
        <w:bottom w:val="none" w:sz="0" w:space="0" w:color="auto"/>
        <w:right w:val="none" w:sz="0" w:space="0" w:color="auto"/>
      </w:divBdr>
    </w:div>
    <w:div w:id="1145050899">
      <w:bodyDiv w:val="1"/>
      <w:marLeft w:val="0"/>
      <w:marRight w:val="0"/>
      <w:marTop w:val="0"/>
      <w:marBottom w:val="0"/>
      <w:divBdr>
        <w:top w:val="none" w:sz="0" w:space="0" w:color="auto"/>
        <w:left w:val="none" w:sz="0" w:space="0" w:color="auto"/>
        <w:bottom w:val="none" w:sz="0" w:space="0" w:color="auto"/>
        <w:right w:val="none" w:sz="0" w:space="0" w:color="auto"/>
      </w:divBdr>
    </w:div>
    <w:div w:id="1559167217">
      <w:bodyDiv w:val="1"/>
      <w:marLeft w:val="0"/>
      <w:marRight w:val="0"/>
      <w:marTop w:val="0"/>
      <w:marBottom w:val="0"/>
      <w:divBdr>
        <w:top w:val="none" w:sz="0" w:space="0" w:color="auto"/>
        <w:left w:val="none" w:sz="0" w:space="0" w:color="auto"/>
        <w:bottom w:val="none" w:sz="0" w:space="0" w:color="auto"/>
        <w:right w:val="none" w:sz="0" w:space="0" w:color="auto"/>
      </w:divBdr>
    </w:div>
    <w:div w:id="1764759000">
      <w:bodyDiv w:val="1"/>
      <w:marLeft w:val="0"/>
      <w:marRight w:val="0"/>
      <w:marTop w:val="0"/>
      <w:marBottom w:val="0"/>
      <w:divBdr>
        <w:top w:val="none" w:sz="0" w:space="0" w:color="auto"/>
        <w:left w:val="none" w:sz="0" w:space="0" w:color="auto"/>
        <w:bottom w:val="none" w:sz="0" w:space="0" w:color="auto"/>
        <w:right w:val="none" w:sz="0" w:space="0" w:color="auto"/>
      </w:divBdr>
      <w:divsChild>
        <w:div w:id="445276774">
          <w:marLeft w:val="1166"/>
          <w:marRight w:val="0"/>
          <w:marTop w:val="77"/>
          <w:marBottom w:val="160"/>
          <w:divBdr>
            <w:top w:val="none" w:sz="0" w:space="0" w:color="auto"/>
            <w:left w:val="none" w:sz="0" w:space="0" w:color="auto"/>
            <w:bottom w:val="none" w:sz="0" w:space="0" w:color="auto"/>
            <w:right w:val="none" w:sz="0" w:space="0" w:color="auto"/>
          </w:divBdr>
        </w:div>
        <w:div w:id="1488588417">
          <w:marLeft w:val="1166"/>
          <w:marRight w:val="0"/>
          <w:marTop w:val="77"/>
          <w:marBottom w:val="160"/>
          <w:divBdr>
            <w:top w:val="none" w:sz="0" w:space="0" w:color="auto"/>
            <w:left w:val="none" w:sz="0" w:space="0" w:color="auto"/>
            <w:bottom w:val="none" w:sz="0" w:space="0" w:color="auto"/>
            <w:right w:val="none" w:sz="0" w:space="0" w:color="auto"/>
          </w:divBdr>
        </w:div>
        <w:div w:id="132337099">
          <w:marLeft w:val="1166"/>
          <w:marRight w:val="0"/>
          <w:marTop w:val="77"/>
          <w:marBottom w:val="160"/>
          <w:divBdr>
            <w:top w:val="none" w:sz="0" w:space="0" w:color="auto"/>
            <w:left w:val="none" w:sz="0" w:space="0" w:color="auto"/>
            <w:bottom w:val="none" w:sz="0" w:space="0" w:color="auto"/>
            <w:right w:val="none" w:sz="0" w:space="0" w:color="auto"/>
          </w:divBdr>
        </w:div>
        <w:div w:id="837841131">
          <w:marLeft w:val="547"/>
          <w:marRight w:val="0"/>
          <w:marTop w:val="77"/>
          <w:marBottom w:val="160"/>
          <w:divBdr>
            <w:top w:val="none" w:sz="0" w:space="0" w:color="auto"/>
            <w:left w:val="none" w:sz="0" w:space="0" w:color="auto"/>
            <w:bottom w:val="none" w:sz="0" w:space="0" w:color="auto"/>
            <w:right w:val="none" w:sz="0" w:space="0" w:color="auto"/>
          </w:divBdr>
        </w:div>
        <w:div w:id="513348850">
          <w:marLeft w:val="1166"/>
          <w:marRight w:val="0"/>
          <w:marTop w:val="77"/>
          <w:marBottom w:val="160"/>
          <w:divBdr>
            <w:top w:val="none" w:sz="0" w:space="0" w:color="auto"/>
            <w:left w:val="none" w:sz="0" w:space="0" w:color="auto"/>
            <w:bottom w:val="none" w:sz="0" w:space="0" w:color="auto"/>
            <w:right w:val="none" w:sz="0" w:space="0" w:color="auto"/>
          </w:divBdr>
        </w:div>
        <w:div w:id="1667589170">
          <w:marLeft w:val="1166"/>
          <w:marRight w:val="0"/>
          <w:marTop w:val="77"/>
          <w:marBottom w:val="160"/>
          <w:divBdr>
            <w:top w:val="none" w:sz="0" w:space="0" w:color="auto"/>
            <w:left w:val="none" w:sz="0" w:space="0" w:color="auto"/>
            <w:bottom w:val="none" w:sz="0" w:space="0" w:color="auto"/>
            <w:right w:val="none" w:sz="0" w:space="0" w:color="auto"/>
          </w:divBdr>
        </w:div>
      </w:divsChild>
    </w:div>
    <w:div w:id="1848323485">
      <w:bodyDiv w:val="1"/>
      <w:marLeft w:val="0"/>
      <w:marRight w:val="0"/>
      <w:marTop w:val="0"/>
      <w:marBottom w:val="0"/>
      <w:divBdr>
        <w:top w:val="none" w:sz="0" w:space="0" w:color="auto"/>
        <w:left w:val="none" w:sz="0" w:space="0" w:color="auto"/>
        <w:bottom w:val="none" w:sz="0" w:space="0" w:color="auto"/>
        <w:right w:val="none" w:sz="0" w:space="0" w:color="auto"/>
      </w:divBdr>
      <w:divsChild>
        <w:div w:id="517888042">
          <w:marLeft w:val="0"/>
          <w:marRight w:val="0"/>
          <w:marTop w:val="0"/>
          <w:marBottom w:val="0"/>
          <w:divBdr>
            <w:top w:val="none" w:sz="0" w:space="0" w:color="auto"/>
            <w:left w:val="none" w:sz="0" w:space="0" w:color="auto"/>
            <w:bottom w:val="none" w:sz="0" w:space="0" w:color="auto"/>
            <w:right w:val="none" w:sz="0" w:space="0" w:color="auto"/>
          </w:divBdr>
          <w:divsChild>
            <w:div w:id="364409514">
              <w:marLeft w:val="0"/>
              <w:marRight w:val="0"/>
              <w:marTop w:val="0"/>
              <w:marBottom w:val="0"/>
              <w:divBdr>
                <w:top w:val="none" w:sz="0" w:space="0" w:color="auto"/>
                <w:left w:val="none" w:sz="0" w:space="0" w:color="auto"/>
                <w:bottom w:val="none" w:sz="0" w:space="0" w:color="auto"/>
                <w:right w:val="none" w:sz="0" w:space="0" w:color="auto"/>
              </w:divBdr>
              <w:divsChild>
                <w:div w:id="658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or.cms.gov" TargetMode="External"/><Relationship Id="rId13" Type="http://schemas.openxmlformats.org/officeDocument/2006/relationships/hyperlink" Target="https://www.telehealth.hhs.gov/providers/" TargetMode="External"/><Relationship Id="rId18" Type="http://schemas.openxmlformats.org/officeDocument/2006/relationships/hyperlink" Target="https://www.ihs.gov/sites/newsroom/themes/responsive2017/display_objects/documents/2020_Letters/Enclosure_DTLL_120220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ms.gov/medicareprovider-enrollment-and-certificationsurveycertificationgeninfopolicy-and-memos-states-and/guidance-interim-final-rule-medicare-and-medicaid-programs-omnibus-covid-19-health-care-staff-2" TargetMode="External"/><Relationship Id="rId17" Type="http://schemas.openxmlformats.org/officeDocument/2006/relationships/hyperlink" Target="https://www.ihs.gov/ihm/circulars/2020/community-health-aide-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s.gov/sites/newsroom/themes/responsive2017/display_objects/documents/2020_Letters/DTLL_09212020.pdf" TargetMode="External"/><Relationship Id="rId20" Type="http://schemas.openxmlformats.org/officeDocument/2006/relationships/hyperlink" Target="https://www.congress.gov/bill/116th-congress/house-bill/7105/text?q=%7B%22search%22%3A%5B%22johnny+isakson+veteran+bill%22%5D%7D&amp;r=1&amp;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2-09-all-injunction-lifte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icaid.gov/medicaid/benefits/downloads/medicaid-chip-telehealth-toolkit.pdf" TargetMode="External"/><Relationship Id="rId23" Type="http://schemas.openxmlformats.org/officeDocument/2006/relationships/header" Target="header2.xml"/><Relationship Id="rId10" Type="http://schemas.openxmlformats.org/officeDocument/2006/relationships/hyperlink" Target="https://r20.rs6.net/tn.jsp?f=00120cdShI-n3FKaJZmcOQwyBW6ZkjVQJocmXbVNidREeZYPHqbILtlyIFnTUfLwf5HKn4j3trfdr_qPLJR3vUQxHl6BWBXKgZ1I1WXeTHKcnVxeQpCwTqHL-eaLcOj6-BuEJNl6v8iBHbYQ5Ehk8GUSkbr6gGoSEJp9p9wL7wEmDwCp5tWlbJcb0RAaMBQlOTwik4D9LtqdVf0HoGWu1BipgQikzR6BXNbdBnYbnKSGS5qcLanMCJzUBs95UMzwYz6rhQUHPFt1GHN_gOC4BEwOiCPYEVHKaI6AdbkNJoiNdELdk61w8fyC_YyJk1pJafXUS2VVoujr2vlEJPkzPt0VN2jsERBY91EY-6IEt7W_qauzZsVnxLHZEec8f6spBT4Y9AlK5y1oZpoCO-RQtqG8Q==&amp;c=5gzPHbO81WdBajdUb7_bcuXFelF6id_t4wSU5HVobNV4PnZDx-mZNQ==&amp;ch=cwwvvMPIp04uadwdND-SZJg5llRrxbqDvAgPvo1WUUp4aa2y2pPIyA==" TargetMode="External"/><Relationship Id="rId19" Type="http://schemas.openxmlformats.org/officeDocument/2006/relationships/hyperlink" Target="https://www.ihs.gov/sites/newsroom/themes/responsive2017/display_objects/documents/2020_Letters/DTLL_12022020.pdf" TargetMode="External"/><Relationship Id="rId4" Type="http://schemas.openxmlformats.org/officeDocument/2006/relationships/settings" Target="settings.xml"/><Relationship Id="rId9" Type="http://schemas.openxmlformats.org/officeDocument/2006/relationships/hyperlink" Target="https://www.cms.gov/files/document/cms-omnibus-covid-19-health-care-staff-vaccination-requirements-2021.pdf" TargetMode="External"/><Relationship Id="rId14" Type="http://schemas.openxmlformats.org/officeDocument/2006/relationships/hyperlink" Target="https://www.cms.gov/files/document/medicare-telehealth-frequently-asked-questions-faqs-31720.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AE23-D2B6-43D7-AEE2-CF479FF6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Sullivan</dc:creator>
  <cp:keywords/>
  <dc:description/>
  <cp:lastModifiedBy>Cyndi Ferguson</cp:lastModifiedBy>
  <cp:revision>2</cp:revision>
  <cp:lastPrinted>2021-11-10T03:21:00Z</cp:lastPrinted>
  <dcterms:created xsi:type="dcterms:W3CDTF">2022-02-02T18:21:00Z</dcterms:created>
  <dcterms:modified xsi:type="dcterms:W3CDTF">2022-02-02T18:21:00Z</dcterms:modified>
</cp:coreProperties>
</file>